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pPr>
      <w:r>
        <w:rPr>
          <w:b/>
          <w:sz w:val="32"/>
        </w:rPr>
        <w:t>Supporting Students on Placement: Effective Strategies in Mental Health Nursing Essay Sample</w:t>
      </w:r>
    </w:p>
    <w:p>
      <w:pPr>
        <w:jc w:val="left"/>
        <w:pBdr>
          <w:bottom w:val="single" w:sz="4" w:space="4" w:color="D9E2F3"/>
        </w:pBdr>
      </w:pPr>
      <w:r>
        <w:rPr>
          <w:i/>
          <w:color w:val="505050"/>
          <w:sz w:val="20"/>
        </w:rPr>
        <w:t>Study resource. Use for planning and comparison only. Do not submit this sample as your own work.</w:t>
      </w:r>
    </w:p>
    <w:p/>
    <w:p w14:paraId="32CAA307" w14:textId="6ADA18EB">
      <w:pPr>
        <w:spacing w:after="0" w:line="480" w:lineRule="auto"/>
        <w:rPr>
          <w:rFonts w:ascii="Arial" w:hAnsi="Arial" w:cs="Arial"/>
          <w:b/>
          <w:bCs/>
          <w:shd w:val="clear" w:color="auto" w:fill="FFFFFF"/>
        </w:rPr>
      </w:pPr>
      <w:r>
        <w:rPr>
          <w:rFonts w:ascii="Arial" w:hAnsi="Arial" w:cs="Arial"/>
          <w:b/>
          <w:bCs/>
          <w:shd w:val="clear" w:color="auto" w:fill="FFFFFF"/>
        </w:rPr>
        <w:t>Mental Health Nursing: Rationale Exploring How Students are Supported in Practice</w:t>
      </w:r>
    </w:p>
    <w:p w14:paraId="621CB614" w14:textId="77777777">
      <w:pPr>
        <w:spacing w:after="0" w:line="360" w:lineRule="auto"/>
        <w:jc w:val="both"/>
        <w:rPr>
          <w:rFonts w:ascii="Arial" w:hAnsi="Arial" w:cs="Arial"/>
        </w:rPr>
      </w:pPr>
    </w:p>
    <w:p w14:paraId="4F11370F" w14:textId="46CAC718">
      <w:pPr>
        <w:spacing w:after="0" w:line="360" w:lineRule="auto"/>
        <w:jc w:val="both"/>
        <w:rPr>
          <w:rFonts w:ascii="Arial" w:hAnsi="Arial" w:cs="Arial"/>
        </w:rPr>
      </w:pPr>
      <w:r>
        <w:rPr>
          <w:rFonts w:ascii="Arial" w:hAnsi="Arial" w:cs="Arial"/>
        </w:rPr>
        <w:t xml:space="preserve">This essay evaluates the </w:t>
      </w:r>
      <w:r>
        <w:rPr>
          <w:rFonts w:ascii="Arial" w:hAnsi="Arial" w:cs="Arial"/>
        </w:rPr>
        <w:t xml:space="preserve">role that mental health nurses play in teaching and helping to support students in practice. It assesses the ways in which mental health nurses can do this, and it also considers the </w:t>
      </w:r>
      <w:r>
        <w:rPr>
          <w:rFonts w:ascii="Arial" w:hAnsi="Arial" w:cs="Arial"/>
        </w:rPr>
        <w:t xml:space="preserve">strengths and weaknesses that such nurses might have in this regard, and also the opportunities and threats faced in doing so. This is represented in a SWOT analysis seen in </w:t>
      </w:r>
      <w:r>
        <w:rPr>
          <w:rFonts w:ascii="Arial" w:hAnsi="Arial" w:cs="Arial"/>
        </w:rPr>
        <w:t>A</w:t>
      </w:r>
      <w:r>
        <w:rPr>
          <w:rFonts w:ascii="Arial" w:hAnsi="Arial" w:cs="Arial"/>
        </w:rPr>
        <w:t>ppendix</w:t>
      </w:r>
      <w:r>
        <w:rPr>
          <w:rFonts w:ascii="Arial" w:hAnsi="Arial" w:cs="Arial"/>
        </w:rPr>
        <w:t xml:space="preserve"> </w:t>
      </w:r>
      <w:r>
        <w:rPr>
          <w:rFonts w:ascii="Arial" w:hAnsi="Arial" w:cs="Arial"/>
        </w:rPr>
        <w:t>1 and</w:t>
      </w:r>
      <w:r>
        <w:rPr>
          <w:rFonts w:ascii="Arial" w:hAnsi="Arial" w:cs="Arial"/>
        </w:rPr>
        <w:t xml:space="preserve"> discussed within the body of this essay. </w:t>
      </w:r>
      <w:r>
        <w:rPr>
          <w:rFonts w:ascii="Arial" w:hAnsi="Arial" w:cs="Arial"/>
        </w:rPr>
        <w:t xml:space="preserve">The discussion also examines personal scope of practice and professional development, taking into account the Nursing and Midwifery Council (NMC) Code (2018). The latter is supported with a </w:t>
      </w:r>
      <w:r>
        <w:rPr>
          <w:rFonts w:ascii="Arial" w:hAnsi="Arial" w:cs="Arial"/>
        </w:rPr>
        <w:t xml:space="preserve">personal development action plan comprised of SMART goals seen in Appendix 2. </w:t>
      </w:r>
    </w:p>
    <w:p w14:paraId="6F856BB9" w14:textId="77777777">
      <w:pPr>
        <w:spacing w:after="0" w:line="360" w:lineRule="auto"/>
        <w:jc w:val="both"/>
        <w:rPr>
          <w:rFonts w:ascii="Arial" w:hAnsi="Arial" w:cs="Arial"/>
        </w:rPr>
      </w:pPr>
    </w:p>
    <w:p w14:paraId="681551CA" w14:textId="55037139">
      <w:pPr>
        <w:spacing w:after="0" w:line="360" w:lineRule="auto"/>
        <w:jc w:val="both"/>
        <w:rPr>
          <w:rFonts w:ascii="Arial" w:hAnsi="Arial" w:cs="Arial"/>
        </w:rPr>
      </w:pPr>
      <w:r>
        <w:rPr>
          <w:rFonts w:ascii="Arial" w:hAnsi="Arial" w:cs="Arial"/>
        </w:rPr>
        <w:t xml:space="preserve">As indicated by the NMC (2018) practice supervisors have a responsibility to help with offering learning experiences that aid student nurses to develop and practice skills. There are a number of different types of opportunities to go about this, according to the NMC (2018), which are not limited to demonstrating and sharing knowledge, observing students, providing feedback on performance, </w:t>
      </w:r>
      <w:r>
        <w:rPr>
          <w:rFonts w:ascii="Arial" w:hAnsi="Arial" w:cs="Arial"/>
        </w:rPr>
        <w:t xml:space="preserve">helping students to benefit from learning opportunities, delegating to them and empowering them. </w:t>
      </w:r>
      <w:r>
        <w:rPr>
          <w:rFonts w:ascii="Arial" w:hAnsi="Arial" w:cs="Arial"/>
        </w:rPr>
        <w:t>Furthermore, the NMC (2018) Code requires nurses to behave as role models that student nurses aspire to.</w:t>
      </w:r>
      <w:r>
        <w:rPr>
          <w:rFonts w:ascii="Arial" w:hAnsi="Arial" w:cs="Arial"/>
        </w:rPr>
        <w:t xml:space="preserve"> The NMC (2018) Code additionally explicitly states that nurses have a requirement to help students to learn so that they gain confidence and competence</w:t>
      </w:r>
      <w:r>
        <w:rPr>
          <w:rFonts w:ascii="Arial" w:hAnsi="Arial" w:cs="Arial"/>
        </w:rPr>
        <w:t>. Moreover, as H</w:t>
      </w:r>
      <w:r>
        <w:rPr>
          <w:rFonts w:ascii="Arial" w:hAnsi="Arial" w:cs="Arial"/>
        </w:rPr>
        <w:t>enderson (2007) postulate, a positive clinical experience working with inpatients can help actively engage students in learning</w:t>
      </w:r>
      <w:r>
        <w:rPr>
          <w:rFonts w:ascii="Arial" w:hAnsi="Arial" w:cs="Arial"/>
        </w:rPr>
        <w:t xml:space="preserve"> to enable them to achieve their learning goals.</w:t>
      </w:r>
    </w:p>
    <w:p w14:paraId="2F588721" w14:textId="77777777">
      <w:pPr>
        <w:spacing w:after="0" w:line="360" w:lineRule="auto"/>
        <w:jc w:val="both"/>
        <w:rPr>
          <w:rFonts w:ascii="Arial" w:hAnsi="Arial" w:cs="Arial"/>
        </w:rPr>
      </w:pPr>
    </w:p>
    <w:p w14:paraId="33B464B0" w14:textId="7548EB59">
      <w:pPr>
        <w:spacing w:after="0" w:line="360" w:lineRule="auto"/>
        <w:jc w:val="both"/>
        <w:rPr>
          <w:rFonts w:ascii="Arial" w:hAnsi="Arial" w:cs="Arial"/>
        </w:rPr>
      </w:pPr>
      <w:r>
        <w:rPr>
          <w:rFonts w:ascii="Arial" w:hAnsi="Arial" w:cs="Arial"/>
        </w:rPr>
        <w:t xml:space="preserve">Understanding personal VARK learning styles can be beneficial to learning effectively (Peate </w:t>
      </w:r>
      <w:r>
        <w:rPr>
          <w:rFonts w:ascii="Arial" w:hAnsi="Arial" w:cs="Arial"/>
        </w:rPr>
        <w:t>et al., 2014). VARK is a model developed by Fleming in 1987, and it stands for Visual, Aural, Read/Write and Kinaesthetic (Peate et al., 2014).</w:t>
      </w:r>
      <w:r>
        <w:rPr>
          <w:rFonts w:ascii="Arial" w:hAnsi="Arial" w:cs="Arial"/>
        </w:rPr>
        <w:t xml:space="preserve"> Bastable (2017) </w:t>
      </w:r>
      <w:r>
        <w:rPr>
          <w:rFonts w:ascii="Arial" w:hAnsi="Arial" w:cs="Arial"/>
        </w:rPr>
        <w:t>highlights</w:t>
      </w:r>
      <w:r>
        <w:rPr>
          <w:rFonts w:ascii="Arial" w:hAnsi="Arial" w:cs="Arial"/>
        </w:rPr>
        <w:t xml:space="preserve"> that visual learners prefer to learn from visual prompts such as process charts and graphs</w:t>
      </w:r>
      <w:r>
        <w:rPr>
          <w:rFonts w:ascii="Arial" w:hAnsi="Arial" w:cs="Arial"/>
        </w:rPr>
        <w:t xml:space="preserve">, while aural learners learn best from listening and discussing. Read/write learners are </w:t>
      </w:r>
      <w:r>
        <w:rPr>
          <w:rFonts w:ascii="Arial" w:hAnsi="Arial" w:cs="Arial"/>
        </w:rPr>
        <w:t xml:space="preserve">those that learn via the written word and seek other sources of information for their learning, while </w:t>
      </w:r>
      <w:r>
        <w:rPr>
          <w:rFonts w:ascii="Arial" w:hAnsi="Arial" w:cs="Arial"/>
        </w:rPr>
        <w:t>kinaesthetic</w:t>
      </w:r>
      <w:r>
        <w:rPr>
          <w:rFonts w:ascii="Arial" w:hAnsi="Arial" w:cs="Arial"/>
        </w:rPr>
        <w:t xml:space="preserve"> learners benefit best from doing and </w:t>
      </w:r>
      <w:r>
        <w:rPr>
          <w:rFonts w:ascii="Arial" w:hAnsi="Arial" w:cs="Arial"/>
        </w:rPr>
        <w:lastRenderedPageBreak/>
        <w:t>role play</w:t>
      </w:r>
      <w:r>
        <w:rPr>
          <w:rFonts w:ascii="Arial" w:hAnsi="Arial" w:cs="Arial"/>
        </w:rPr>
        <w:t>, in other words, hands-on learning (Bastable, 2017).</w:t>
      </w:r>
      <w:r>
        <w:rPr>
          <w:rFonts w:ascii="Arial" w:hAnsi="Arial" w:cs="Arial"/>
        </w:rPr>
        <w:t xml:space="preserve"> Halstead and Billings (2016) explain that </w:t>
      </w:r>
      <w:r>
        <w:rPr>
          <w:rFonts w:ascii="Arial" w:hAnsi="Arial" w:cs="Arial"/>
        </w:rPr>
        <w:t xml:space="preserve">research shows that a total of 41% of people have a single preference in learning styles, but 21% use all four styles. </w:t>
      </w:r>
      <w:r>
        <w:rPr>
          <w:rFonts w:ascii="Arial" w:hAnsi="Arial" w:cs="Arial"/>
        </w:rPr>
        <w:t xml:space="preserve">Learning styles are important because if the learning styles of others are known and understood, those educating them can develop learning approaches that will work best with a person’s specific learning styles (Halstead and Billings, 2016).  </w:t>
      </w:r>
      <w:r>
        <w:rPr>
          <w:rFonts w:ascii="Arial" w:hAnsi="Arial" w:cs="Arial"/>
        </w:rPr>
        <w:t xml:space="preserve">However, while </w:t>
      </w:r>
      <w:r>
        <w:rPr>
          <w:rFonts w:ascii="Arial" w:hAnsi="Arial" w:cs="Arial"/>
        </w:rPr>
        <w:t>planning learning sessions would be the ideal, it should be understood that a</w:t>
      </w:r>
      <w:r>
        <w:rPr>
          <w:rFonts w:ascii="Arial" w:hAnsi="Arial" w:cs="Arial"/>
        </w:rPr>
        <w:t xml:space="preserve"> considerable threat to nurses using opportunities to train students on shift is likely to be staff shortages in nursing. As Shembavnekar and Kelly (2023) highlight, a third of full time vacancies in the NHS in England are comprised of nursing vacancies. </w:t>
      </w:r>
      <w:r>
        <w:rPr>
          <w:rFonts w:ascii="Arial" w:hAnsi="Arial" w:cs="Arial"/>
        </w:rPr>
        <w:t>While lesson plans to support different learning styles might be an ideal, with staffing shortages at the levels suggested by Shembavnekar and Kelly (2023) it may not be very realistic to expect that mental health nurses can find time for this level of planning for training.</w:t>
      </w:r>
    </w:p>
    <w:p w14:paraId="4D122287" w14:textId="77777777">
      <w:pPr>
        <w:spacing w:after="0" w:line="360" w:lineRule="auto"/>
        <w:jc w:val="both"/>
        <w:rPr>
          <w:rFonts w:ascii="Arial" w:hAnsi="Arial" w:cs="Arial"/>
        </w:rPr>
      </w:pPr>
    </w:p>
    <w:p w14:paraId="6986BD46" w14:textId="1E6C8C8D">
      <w:pPr>
        <w:spacing w:after="0" w:line="360" w:lineRule="auto"/>
        <w:jc w:val="both"/>
        <w:rPr>
          <w:rFonts w:ascii="Arial" w:hAnsi="Arial" w:cs="Arial"/>
        </w:rPr>
      </w:pPr>
      <w:r>
        <w:rPr>
          <w:rFonts w:ascii="Arial" w:hAnsi="Arial" w:cs="Arial"/>
        </w:rPr>
        <w:t>One key point arising from opportunities</w:t>
      </w:r>
      <w:r>
        <w:rPr>
          <w:rFonts w:ascii="Arial" w:hAnsi="Arial" w:cs="Arial"/>
        </w:rPr>
        <w:t xml:space="preserve"> for mental health nurses in supporting the learning and development of student nurses, is the chance to give immediate (or at least, soon after the event) feedback that is constructive and that can promote learning (</w:t>
      </w:r>
      <w:r>
        <w:rPr>
          <w:rFonts w:ascii="Arial" w:hAnsi="Arial" w:cs="Arial"/>
        </w:rPr>
        <w:t>Prater and Allen, 2020)</w:t>
      </w:r>
      <w:r>
        <w:rPr>
          <w:rFonts w:ascii="Arial" w:hAnsi="Arial" w:cs="Arial"/>
        </w:rPr>
        <w:t>. One effective way to achieve this, as highlighted by Prater and Allen (2020</w:t>
      </w:r>
      <w:r>
        <w:rPr>
          <w:rFonts w:ascii="Arial" w:hAnsi="Arial" w:cs="Arial"/>
        </w:rPr>
        <w:t>, p. 414</w:t>
      </w:r>
      <w:r>
        <w:rPr>
          <w:rFonts w:ascii="Arial" w:hAnsi="Arial" w:cs="Arial"/>
        </w:rPr>
        <w:t>) is to use the so-called ‘sandwich method</w:t>
      </w:r>
      <w:r>
        <w:rPr>
          <w:rFonts w:ascii="Arial" w:hAnsi="Arial" w:cs="Arial"/>
        </w:rPr>
        <w:t xml:space="preserve">,’ where constructive feedback is sandwiched between some positives. Prater and Allen (2020) argue that giving immediate feedback </w:t>
      </w:r>
      <w:r>
        <w:rPr>
          <w:rFonts w:ascii="Arial" w:hAnsi="Arial" w:cs="Arial"/>
        </w:rPr>
        <w:t xml:space="preserve">is effective because both </w:t>
      </w:r>
      <w:r>
        <w:rPr>
          <w:rFonts w:ascii="Arial" w:hAnsi="Arial" w:cs="Arial"/>
        </w:rPr>
        <w:t xml:space="preserve">parties can clearly remember the detail. As </w:t>
      </w:r>
      <w:r>
        <w:rPr>
          <w:rFonts w:ascii="Arial" w:hAnsi="Arial" w:cs="Arial"/>
        </w:rPr>
        <w:t xml:space="preserve">Cant et al. (2021) </w:t>
      </w:r>
      <w:r>
        <w:rPr>
          <w:rFonts w:ascii="Arial" w:hAnsi="Arial" w:cs="Arial"/>
        </w:rPr>
        <w:t xml:space="preserve">evidence in their research, finding time to achieve this can sometimes be an issue on a busy shift, </w:t>
      </w:r>
      <w:r>
        <w:rPr>
          <w:rFonts w:ascii="Arial" w:hAnsi="Arial" w:cs="Arial"/>
        </w:rPr>
        <w:t>but feedback is invaluable for student nurses, and in collaborative learning (Williamson et al., 2020), so time needs to be made.</w:t>
      </w:r>
      <w:r>
        <w:rPr>
          <w:rFonts w:ascii="Arial" w:hAnsi="Arial" w:cs="Arial"/>
        </w:rPr>
        <w:t xml:space="preserve"> Feedback can come about not just from practice supervisors but also from peers on placement</w:t>
      </w:r>
      <w:r>
        <w:rPr>
          <w:rFonts w:ascii="Arial" w:hAnsi="Arial" w:cs="Arial"/>
        </w:rPr>
        <w:t xml:space="preserve">. Indeed, evidence from the literature suggests that peer learning is tremendously beneficial in developing the confidence of student nurses and supporting their team working skills (Markowski et al., 2021). </w:t>
      </w:r>
      <w:r>
        <w:rPr>
          <w:rFonts w:ascii="Arial" w:hAnsi="Arial" w:cs="Arial"/>
        </w:rPr>
        <w:t xml:space="preserve">The findings of Markowski et al. (2021) in particular support the effectiveness of learning between first and third year student </w:t>
      </w:r>
      <w:r>
        <w:rPr>
          <w:rFonts w:ascii="Arial" w:hAnsi="Arial" w:cs="Arial"/>
        </w:rPr>
        <w:t>nurses</w:t>
      </w:r>
      <w:r>
        <w:rPr>
          <w:rFonts w:ascii="Arial" w:hAnsi="Arial" w:cs="Arial"/>
        </w:rPr>
        <w:t>. Further supporting this, Hill et al. (2020) indicate that collaboration in learning can drive good learning outcomes too.</w:t>
      </w:r>
    </w:p>
    <w:p w14:paraId="4A8F627E" w14:textId="77777777">
      <w:pPr>
        <w:spacing w:after="0" w:line="360" w:lineRule="auto"/>
        <w:jc w:val="both"/>
        <w:rPr>
          <w:rFonts w:ascii="Arial" w:hAnsi="Arial" w:cs="Arial"/>
        </w:rPr>
      </w:pPr>
    </w:p>
    <w:p w14:paraId="323C5A91" w14:textId="77777777">
      <w:pPr>
        <w:spacing w:after="0" w:line="360" w:lineRule="auto"/>
        <w:jc w:val="both"/>
        <w:rPr>
          <w:rFonts w:ascii="Arial" w:hAnsi="Arial" w:cs="Arial"/>
        </w:rPr>
      </w:pPr>
    </w:p>
    <w:p w14:paraId="66C92FD9" w14:textId="77777777">
      <w:pPr>
        <w:spacing w:after="0" w:line="360" w:lineRule="auto"/>
        <w:jc w:val="both"/>
        <w:rPr>
          <w:rFonts w:ascii="Arial" w:hAnsi="Arial" w:cs="Arial"/>
        </w:rPr>
      </w:pPr>
    </w:p>
    <w:p w14:paraId="6BE996A1" w14:textId="5784B7CF">
      <w:pPr>
        <w:spacing w:after="0" w:line="360" w:lineRule="auto"/>
        <w:jc w:val="both"/>
        <w:rPr>
          <w:rFonts w:ascii="Arial" w:hAnsi="Arial" w:cs="Arial"/>
        </w:rPr>
      </w:pPr>
      <w:r>
        <w:rPr>
          <w:rFonts w:ascii="Arial" w:hAnsi="Arial" w:cs="Arial"/>
        </w:rPr>
        <w:lastRenderedPageBreak/>
        <w:t xml:space="preserve">Weaknesses </w:t>
      </w:r>
      <w:r>
        <w:rPr>
          <w:rFonts w:ascii="Arial" w:hAnsi="Arial" w:cs="Arial"/>
        </w:rPr>
        <w:t xml:space="preserve">in learning on clinical placement do exist, and defensiveness can be one of these (Bifarin et al., 2022). </w:t>
      </w:r>
      <w:r>
        <w:rPr>
          <w:rFonts w:ascii="Arial" w:hAnsi="Arial" w:cs="Arial"/>
        </w:rPr>
        <w:t xml:space="preserve">Bifarin et al. (2022) suggest that defensive practices </w:t>
      </w:r>
      <w:r>
        <w:rPr>
          <w:rFonts w:ascii="Arial" w:hAnsi="Arial" w:cs="Arial"/>
        </w:rPr>
        <w:t xml:space="preserve">can result from organisational cultures (especially when there is </w:t>
      </w:r>
      <w:r>
        <w:rPr>
          <w:rFonts w:ascii="Arial" w:hAnsi="Arial" w:cs="Arial"/>
        </w:rPr>
        <w:t xml:space="preserve">an over-focus on metrics, for example). This can lead to an environment that </w:t>
      </w:r>
      <w:r>
        <w:rPr>
          <w:rFonts w:ascii="Arial" w:hAnsi="Arial" w:cs="Arial"/>
        </w:rPr>
        <w:t xml:space="preserve">encourages defensiveness and makes it harder to learn, potentially (Dashtipou et al., 2020). </w:t>
      </w:r>
      <w:r>
        <w:rPr>
          <w:rFonts w:ascii="Arial" w:hAnsi="Arial" w:cs="Arial"/>
        </w:rPr>
        <w:t xml:space="preserve">Reading and Webster (2014) indicate that defensiveness is a barrier to good </w:t>
      </w:r>
      <w:r>
        <w:rPr>
          <w:rFonts w:ascii="Arial" w:hAnsi="Arial" w:cs="Arial"/>
        </w:rPr>
        <w:t xml:space="preserve">communication, and that cultures where trust is low can exacerbate these types of communication issues. </w:t>
      </w:r>
      <w:r>
        <w:rPr>
          <w:rFonts w:ascii="Arial" w:hAnsi="Arial" w:cs="Arial"/>
        </w:rPr>
        <w:t>However, Reading and Webster (2014) also provide helpful guidance for addressing these types of barriers, such as use of empathy and respect, which student nurses might draw on to help facilitate their own learning in these sorts of scenarios, potentially.</w:t>
      </w:r>
    </w:p>
    <w:p w14:paraId="0F6F61BF" w14:textId="77777777">
      <w:pPr>
        <w:spacing w:after="0" w:line="360" w:lineRule="auto"/>
        <w:jc w:val="both"/>
        <w:rPr>
          <w:rFonts w:ascii="Arial" w:hAnsi="Arial" w:cs="Arial"/>
        </w:rPr>
      </w:pPr>
    </w:p>
    <w:p w14:paraId="069FDE3C" w14:textId="234E7274">
      <w:pPr>
        <w:spacing w:after="0" w:line="360" w:lineRule="auto"/>
        <w:jc w:val="both"/>
        <w:rPr>
          <w:rFonts w:ascii="Arial" w:hAnsi="Arial" w:cs="Arial"/>
        </w:rPr>
      </w:pPr>
      <w:r>
        <w:rPr>
          <w:rFonts w:ascii="Arial" w:hAnsi="Arial" w:cs="Arial"/>
        </w:rPr>
        <w:t>As highlighted, r</w:t>
      </w:r>
      <w:r>
        <w:rPr>
          <w:rFonts w:ascii="Arial" w:hAnsi="Arial" w:cs="Arial"/>
        </w:rPr>
        <w:t>ole modelling</w:t>
      </w:r>
      <w:r>
        <w:rPr>
          <w:rFonts w:ascii="Arial" w:hAnsi="Arial" w:cs="Arial"/>
        </w:rPr>
        <w:t xml:space="preserve"> is one </w:t>
      </w:r>
      <w:r>
        <w:rPr>
          <w:rFonts w:ascii="Arial" w:hAnsi="Arial" w:cs="Arial"/>
        </w:rPr>
        <w:t xml:space="preserve">important element in clinical placement which mental health nurses are expected to do as part of the NMC (2018) Code. It is beneficial for student </w:t>
      </w:r>
      <w:r>
        <w:rPr>
          <w:rFonts w:ascii="Arial" w:hAnsi="Arial" w:cs="Arial"/>
        </w:rPr>
        <w:t>nurses and</w:t>
      </w:r>
      <w:r>
        <w:rPr>
          <w:rFonts w:ascii="Arial" w:hAnsi="Arial" w:cs="Arial"/>
        </w:rPr>
        <w:t xml:space="preserve"> might be considered a strength of the clinical environment as </w:t>
      </w:r>
      <w:r>
        <w:rPr>
          <w:rFonts w:ascii="Arial" w:hAnsi="Arial" w:cs="Arial"/>
        </w:rPr>
        <w:t xml:space="preserve">a platform for </w:t>
      </w:r>
      <w:proofErr w:type="gramStart"/>
      <w:r>
        <w:rPr>
          <w:rFonts w:ascii="Arial" w:hAnsi="Arial" w:cs="Arial"/>
        </w:rPr>
        <w:t>learning, because</w:t>
      </w:r>
      <w:proofErr w:type="gramEnd"/>
      <w:r>
        <w:rPr>
          <w:rFonts w:ascii="Arial" w:hAnsi="Arial" w:cs="Arial"/>
        </w:rPr>
        <w:t xml:space="preserve"> student nurses can see in practice the desired behaviours</w:t>
      </w:r>
      <w:r>
        <w:rPr>
          <w:rFonts w:ascii="Arial" w:hAnsi="Arial" w:cs="Arial"/>
        </w:rPr>
        <w:t xml:space="preserve">. As Crisp et al. (2020) opine, </w:t>
      </w:r>
      <w:r>
        <w:rPr>
          <w:rFonts w:ascii="Arial" w:hAnsi="Arial" w:cs="Arial"/>
        </w:rPr>
        <w:t>learning from role modelling can drive quite profound effects. Crisp et al. (2020</w:t>
      </w:r>
      <w:r>
        <w:rPr>
          <w:rFonts w:ascii="Arial" w:hAnsi="Arial" w:cs="Arial"/>
        </w:rPr>
        <w:t>, p. 184</w:t>
      </w:r>
      <w:r>
        <w:rPr>
          <w:rFonts w:ascii="Arial" w:hAnsi="Arial" w:cs="Arial"/>
        </w:rPr>
        <w:t xml:space="preserve">) also argue that where culture is suited for learning, “students experience meaningful </w:t>
      </w:r>
      <w:r>
        <w:rPr>
          <w:rFonts w:ascii="Arial" w:hAnsi="Arial" w:cs="Arial"/>
        </w:rPr>
        <w:t>interactions</w:t>
      </w:r>
      <w:r>
        <w:rPr>
          <w:rFonts w:ascii="Arial" w:hAnsi="Arial" w:cs="Arial"/>
        </w:rPr>
        <w:t xml:space="preserve"> between staff members</w:t>
      </w:r>
      <w:r>
        <w:rPr>
          <w:rFonts w:ascii="Arial" w:hAnsi="Arial" w:cs="Arial"/>
        </w:rPr>
        <w:t xml:space="preserve"> and… they will continue to imitate the behaviours practiced by role models they believe to be important.”</w:t>
      </w:r>
      <w:r>
        <w:rPr>
          <w:rFonts w:ascii="Arial" w:hAnsi="Arial" w:cs="Arial"/>
        </w:rPr>
        <w:t xml:space="preserve"> Furthermore, as Northway</w:t>
      </w:r>
      <w:r>
        <w:rPr>
          <w:rFonts w:ascii="Arial" w:hAnsi="Arial" w:cs="Arial"/>
        </w:rPr>
        <w:t xml:space="preserve"> and Hopes</w:t>
      </w:r>
      <w:r>
        <w:rPr>
          <w:rFonts w:ascii="Arial" w:hAnsi="Arial" w:cs="Arial"/>
        </w:rPr>
        <w:t xml:space="preserve"> (</w:t>
      </w:r>
      <w:r>
        <w:rPr>
          <w:rFonts w:ascii="Arial" w:hAnsi="Arial" w:cs="Arial"/>
        </w:rPr>
        <w:t>2022</w:t>
      </w:r>
      <w:r>
        <w:rPr>
          <w:rFonts w:ascii="Arial" w:hAnsi="Arial" w:cs="Arial"/>
        </w:rPr>
        <w:t xml:space="preserve">) pinpoint, where role models are good, this can be very powerful for </w:t>
      </w:r>
      <w:r>
        <w:rPr>
          <w:rFonts w:ascii="Arial" w:hAnsi="Arial" w:cs="Arial"/>
        </w:rPr>
        <w:t xml:space="preserve">empowering student nurses. In addition to this, Northway </w:t>
      </w:r>
      <w:r>
        <w:rPr>
          <w:rFonts w:ascii="Arial" w:hAnsi="Arial" w:cs="Arial"/>
        </w:rPr>
        <w:t xml:space="preserve">and Hopes </w:t>
      </w:r>
      <w:r>
        <w:rPr>
          <w:rFonts w:ascii="Arial" w:hAnsi="Arial" w:cs="Arial"/>
        </w:rPr>
        <w:t>(</w:t>
      </w:r>
      <w:r>
        <w:rPr>
          <w:rFonts w:ascii="Arial" w:hAnsi="Arial" w:cs="Arial"/>
        </w:rPr>
        <w:t>2022</w:t>
      </w:r>
      <w:r>
        <w:rPr>
          <w:rFonts w:ascii="Arial" w:hAnsi="Arial" w:cs="Arial"/>
        </w:rPr>
        <w:t xml:space="preserve">) indicate that good role modelling influences organisational culture, improving it. </w:t>
      </w:r>
      <w:r>
        <w:rPr>
          <w:rFonts w:ascii="Arial" w:hAnsi="Arial" w:cs="Arial"/>
        </w:rPr>
        <w:t xml:space="preserve">However, as Peate (2023) points out, not all role modelling is necessarily good, and as such it cannot always be relied on for effective student learning. </w:t>
      </w:r>
      <w:r>
        <w:rPr>
          <w:rFonts w:ascii="Arial" w:hAnsi="Arial" w:cs="Arial"/>
        </w:rPr>
        <w:t xml:space="preserve">As </w:t>
      </w:r>
      <w:r>
        <w:rPr>
          <w:rFonts w:ascii="Arial" w:hAnsi="Arial" w:cs="Arial"/>
        </w:rPr>
        <w:t xml:space="preserve">argued by Leigh and Roberts (2021) student nurses may have significant exposure to a wide variety of clinical role model </w:t>
      </w:r>
      <w:r>
        <w:rPr>
          <w:rFonts w:ascii="Arial" w:hAnsi="Arial" w:cs="Arial"/>
        </w:rPr>
        <w:t>behaviour</w:t>
      </w:r>
      <w:r>
        <w:rPr>
          <w:rFonts w:ascii="Arial" w:hAnsi="Arial" w:cs="Arial"/>
        </w:rPr>
        <w:t xml:space="preserve"> which can be both good and bad</w:t>
      </w:r>
      <w:r>
        <w:rPr>
          <w:rFonts w:ascii="Arial" w:hAnsi="Arial" w:cs="Arial"/>
        </w:rPr>
        <w:t xml:space="preserve">. To some extent then, the student nurse is arguably left </w:t>
      </w:r>
      <w:r>
        <w:rPr>
          <w:rFonts w:ascii="Arial" w:hAnsi="Arial" w:cs="Arial"/>
        </w:rPr>
        <w:t xml:space="preserve">trying to make sense of which role models are bad and which good, potentially. </w:t>
      </w:r>
    </w:p>
    <w:p w14:paraId="4D6B95E9" w14:textId="77777777">
      <w:pPr>
        <w:spacing w:after="0" w:line="360" w:lineRule="auto"/>
        <w:jc w:val="both"/>
        <w:rPr>
          <w:rFonts w:ascii="Arial" w:hAnsi="Arial" w:cs="Arial"/>
        </w:rPr>
      </w:pPr>
    </w:p>
    <w:p w14:paraId="3E7D07A0" w14:textId="77777777">
      <w:pPr>
        <w:spacing w:after="0" w:line="360" w:lineRule="auto"/>
        <w:jc w:val="both"/>
        <w:rPr>
          <w:rFonts w:ascii="Arial" w:hAnsi="Arial" w:cs="Arial"/>
        </w:rPr>
      </w:pPr>
    </w:p>
    <w:p w14:paraId="0628BC2F" w14:textId="77777777">
      <w:pPr>
        <w:spacing w:after="0" w:line="360" w:lineRule="auto"/>
        <w:jc w:val="both"/>
        <w:rPr>
          <w:rFonts w:ascii="Arial" w:hAnsi="Arial" w:cs="Arial"/>
        </w:rPr>
      </w:pPr>
    </w:p>
    <w:p w14:paraId="0A2D2D36" w14:textId="77777777">
      <w:pPr>
        <w:spacing w:after="0" w:line="360" w:lineRule="auto"/>
        <w:jc w:val="both"/>
        <w:rPr>
          <w:rFonts w:ascii="Arial" w:hAnsi="Arial" w:cs="Arial"/>
        </w:rPr>
      </w:pPr>
    </w:p>
    <w:p w14:paraId="737FB23B" w14:textId="77777777">
      <w:pPr>
        <w:spacing w:after="0" w:line="360" w:lineRule="auto"/>
        <w:jc w:val="both"/>
        <w:rPr>
          <w:rFonts w:ascii="Arial" w:hAnsi="Arial" w:cs="Arial"/>
        </w:rPr>
      </w:pPr>
    </w:p>
    <w:p w14:paraId="75E20282" w14:textId="7DAD02EC">
      <w:pPr>
        <w:spacing w:after="0" w:line="360" w:lineRule="auto"/>
        <w:jc w:val="both"/>
        <w:rPr>
          <w:rFonts w:ascii="Arial" w:hAnsi="Arial" w:cs="Arial"/>
        </w:rPr>
      </w:pPr>
      <w:r>
        <w:rPr>
          <w:rFonts w:ascii="Arial" w:hAnsi="Arial" w:cs="Arial"/>
        </w:rPr>
        <w:lastRenderedPageBreak/>
        <w:t xml:space="preserve">Other excellent learning opportunities on clinical placement for student mental health nurses </w:t>
      </w:r>
      <w:r>
        <w:rPr>
          <w:rFonts w:ascii="Arial" w:hAnsi="Arial" w:cs="Arial"/>
        </w:rPr>
        <w:t xml:space="preserve">include the chance to get involved in actual care of patients </w:t>
      </w:r>
      <w:r>
        <w:rPr>
          <w:rFonts w:ascii="Arial" w:hAnsi="Arial" w:cs="Arial"/>
        </w:rPr>
        <w:t xml:space="preserve">(Henderson et al., 2007) rather than just learning from theory. This is interesting </w:t>
      </w:r>
      <w:r>
        <w:rPr>
          <w:rFonts w:ascii="Arial" w:hAnsi="Arial" w:cs="Arial"/>
        </w:rPr>
        <w:t xml:space="preserve">and is shown to provide student nurses with high levels of satisfaction (Henderson et al., 2007). </w:t>
      </w:r>
      <w:r>
        <w:rPr>
          <w:rFonts w:ascii="Arial" w:hAnsi="Arial" w:cs="Arial"/>
        </w:rPr>
        <w:t xml:space="preserve">As Selekman et al. (2019) indicate, </w:t>
      </w:r>
      <w:r>
        <w:rPr>
          <w:rFonts w:ascii="Arial" w:hAnsi="Arial" w:cs="Arial"/>
        </w:rPr>
        <w:t xml:space="preserve">in practice, student nurses come face to face with real life patients that have comorbidities and complexities that challenge their learning and provide invaluable experience too. </w:t>
      </w:r>
      <w:r>
        <w:rPr>
          <w:rFonts w:ascii="Arial" w:hAnsi="Arial" w:cs="Arial"/>
        </w:rPr>
        <w:t xml:space="preserve"> </w:t>
      </w:r>
      <w:r>
        <w:rPr>
          <w:rFonts w:ascii="Arial" w:hAnsi="Arial" w:cs="Arial"/>
        </w:rPr>
        <w:t>Patients are not straightforward</w:t>
      </w:r>
      <w:r>
        <w:rPr>
          <w:rFonts w:ascii="Arial" w:hAnsi="Arial" w:cs="Arial"/>
        </w:rPr>
        <w:t>, and in addition to mental illness, people in care may also have comorbidities such as cancer, cardiovascular disease or type 2 diabetes, among others (</w:t>
      </w:r>
      <w:r>
        <w:rPr>
          <w:rFonts w:ascii="Arial" w:hAnsi="Arial" w:cs="Arial"/>
        </w:rPr>
        <w:t xml:space="preserve">Brunero et al., 2020). From observing nurses addressing these issues, student nurses can learn </w:t>
      </w:r>
      <w:r>
        <w:rPr>
          <w:rFonts w:ascii="Arial" w:hAnsi="Arial" w:cs="Arial"/>
        </w:rPr>
        <w:t xml:space="preserve">about a broader range of issues (Henderson et al., 2007) than those they might face in the classroom. </w:t>
      </w:r>
    </w:p>
    <w:p w14:paraId="105C92DE" w14:textId="77777777">
      <w:pPr>
        <w:spacing w:after="0" w:line="360" w:lineRule="auto"/>
        <w:jc w:val="both"/>
        <w:rPr>
          <w:rFonts w:ascii="Arial" w:hAnsi="Arial" w:cs="Arial"/>
        </w:rPr>
      </w:pPr>
    </w:p>
    <w:p w14:paraId="6C01D7D0" w14:textId="460B0B90">
      <w:pPr>
        <w:spacing w:after="0" w:line="360" w:lineRule="auto"/>
        <w:jc w:val="both"/>
        <w:rPr>
          <w:rFonts w:ascii="Arial" w:hAnsi="Arial" w:cs="Arial"/>
        </w:rPr>
      </w:pPr>
      <w:r>
        <w:rPr>
          <w:rFonts w:ascii="Arial" w:hAnsi="Arial" w:cs="Arial"/>
        </w:rPr>
        <w:t>Given the learning opportunities of the placement environment, and an understanding of my own preferred learning style  (Peate et al., 2014) (kin</w:t>
      </w:r>
      <w:r>
        <w:rPr>
          <w:rFonts w:ascii="Arial" w:hAnsi="Arial" w:cs="Arial"/>
        </w:rPr>
        <w:t>aesthetic</w:t>
      </w:r>
      <w:r>
        <w:rPr>
          <w:rFonts w:ascii="Arial" w:hAnsi="Arial" w:cs="Arial"/>
        </w:rPr>
        <w:t xml:space="preserve">) I have developed </w:t>
      </w:r>
      <w:r>
        <w:rPr>
          <w:rFonts w:ascii="Arial" w:hAnsi="Arial" w:cs="Arial"/>
        </w:rPr>
        <w:t xml:space="preserve">a SMART action plan (Appendix 2) which highlights how I plan to improve my scope of practice and professional development. Within this, I have </w:t>
      </w:r>
      <w:r>
        <w:rPr>
          <w:rFonts w:ascii="Arial" w:hAnsi="Arial" w:cs="Arial"/>
        </w:rPr>
        <w:t xml:space="preserve">considered the learning that is possible on clinical placement that has </w:t>
      </w:r>
      <w:r>
        <w:rPr>
          <w:rFonts w:ascii="Arial" w:hAnsi="Arial" w:cs="Arial"/>
        </w:rPr>
        <w:t xml:space="preserve">been understood as a part of undertaking the above critical evaluation. </w:t>
      </w:r>
      <w:r>
        <w:rPr>
          <w:rFonts w:ascii="Arial" w:hAnsi="Arial" w:cs="Arial"/>
        </w:rPr>
        <w:t>Specifically, I have considered how not just learning from my placement supervisor can be beneficial, taking into account aspects such as role modelling, peer feedback and others</w:t>
      </w:r>
      <w:r>
        <w:rPr>
          <w:rFonts w:ascii="Arial" w:hAnsi="Arial" w:cs="Arial"/>
        </w:rPr>
        <w:t xml:space="preserve">, all of which can be advantageous to learning, as has been shown. The use of SMART objectives is important in </w:t>
      </w:r>
      <w:r>
        <w:rPr>
          <w:rFonts w:ascii="Arial" w:hAnsi="Arial" w:cs="Arial"/>
        </w:rPr>
        <w:t xml:space="preserve">undertaking </w:t>
      </w:r>
      <w:proofErr w:type="gramStart"/>
      <w:r>
        <w:rPr>
          <w:rFonts w:ascii="Arial" w:hAnsi="Arial" w:cs="Arial"/>
        </w:rPr>
        <w:t>this, because</w:t>
      </w:r>
      <w:proofErr w:type="gramEnd"/>
      <w:r>
        <w:rPr>
          <w:rFonts w:ascii="Arial" w:hAnsi="Arial" w:cs="Arial"/>
        </w:rPr>
        <w:t xml:space="preserve"> SMART goals are structured, bringing benefits in terms of likely achievement (</w:t>
      </w:r>
      <w:r>
        <w:rPr>
          <w:rFonts w:ascii="Arial" w:hAnsi="Arial" w:cs="Arial"/>
        </w:rPr>
        <w:t xml:space="preserve">Stacey et al., 2017). As Norman and Ryrie (2018) explain, SMART stands for </w:t>
      </w:r>
      <w:r>
        <w:rPr>
          <w:rFonts w:ascii="Arial" w:hAnsi="Arial" w:cs="Arial"/>
        </w:rPr>
        <w:t>Specific, Measurable, Achievable, Realistic and Time Oriented. When these criteria are met</w:t>
      </w:r>
      <w:r>
        <w:rPr>
          <w:rFonts w:ascii="Arial" w:hAnsi="Arial" w:cs="Arial"/>
        </w:rPr>
        <w:t xml:space="preserve">, the goal can be accomplished, if barriers to achieving it are overcome along the way (Norman and Ryrie, 2018). </w:t>
      </w:r>
    </w:p>
    <w:p w14:paraId="14B57B69" w14:textId="77777777">
      <w:pPr>
        <w:spacing w:after="0" w:line="360" w:lineRule="auto"/>
        <w:jc w:val="both"/>
        <w:rPr>
          <w:rFonts w:ascii="Arial" w:hAnsi="Arial" w:cs="Arial"/>
        </w:rPr>
      </w:pPr>
    </w:p>
    <w:p w14:paraId="2F315797" w14:textId="72E47D2E">
      <w:pPr>
        <w:spacing w:after="0" w:line="360" w:lineRule="auto"/>
        <w:jc w:val="both"/>
        <w:rPr>
          <w:rFonts w:ascii="Arial" w:hAnsi="Arial" w:cs="Arial"/>
        </w:rPr>
      </w:pPr>
      <w:r>
        <w:rPr>
          <w:rFonts w:ascii="Arial" w:hAnsi="Arial" w:cs="Arial"/>
        </w:rPr>
        <w:t xml:space="preserve">The areas for professional development identified are improving personal competence in terms of dealing with challenging behaviour, improvement of delegation skills and </w:t>
      </w:r>
      <w:r>
        <w:rPr>
          <w:rFonts w:ascii="Arial" w:hAnsi="Arial" w:cs="Arial"/>
        </w:rPr>
        <w:t xml:space="preserve">developing more enhanced organisational skills to ensure that all tasks are taken care of in a timely manner. All three </w:t>
      </w:r>
      <w:r>
        <w:rPr>
          <w:rFonts w:ascii="Arial" w:hAnsi="Arial" w:cs="Arial"/>
        </w:rPr>
        <w:t>are required of the registered nurse</w:t>
      </w:r>
      <w:r>
        <w:rPr>
          <w:rFonts w:ascii="Arial" w:hAnsi="Arial" w:cs="Arial"/>
        </w:rPr>
        <w:t xml:space="preserve">, as outlined in the Future Nurse competencies document published by the NMC (2018). </w:t>
      </w:r>
      <w:r>
        <w:rPr>
          <w:rFonts w:ascii="Arial" w:hAnsi="Arial" w:cs="Arial"/>
        </w:rPr>
        <w:t>Each will now be considered in turn. Starting with competence with challenging behaviour, s</w:t>
      </w:r>
      <w:r>
        <w:rPr>
          <w:rFonts w:ascii="Arial" w:hAnsi="Arial" w:cs="Arial"/>
        </w:rPr>
        <w:t xml:space="preserve">pecifically, </w:t>
      </w:r>
      <w:r>
        <w:rPr>
          <w:rFonts w:ascii="Arial" w:hAnsi="Arial" w:cs="Arial"/>
        </w:rPr>
        <w:t>nurses</w:t>
      </w:r>
      <w:r>
        <w:rPr>
          <w:rFonts w:ascii="Arial" w:hAnsi="Arial" w:cs="Arial"/>
        </w:rPr>
        <w:t xml:space="preserve"> need to be able to operate in challenging situations dealing with </w:t>
      </w:r>
      <w:r>
        <w:rPr>
          <w:rFonts w:ascii="Arial" w:hAnsi="Arial" w:cs="Arial"/>
        </w:rPr>
        <w:lastRenderedPageBreak/>
        <w:t xml:space="preserve">behavioural </w:t>
      </w:r>
      <w:r>
        <w:rPr>
          <w:rFonts w:ascii="Arial" w:hAnsi="Arial" w:cs="Arial"/>
        </w:rPr>
        <w:t xml:space="preserve">issues as required of them (NMC, 2018). It is </w:t>
      </w:r>
      <w:r>
        <w:rPr>
          <w:rFonts w:ascii="Arial" w:hAnsi="Arial" w:cs="Arial"/>
        </w:rPr>
        <w:t>acknowledged</w:t>
      </w:r>
      <w:r>
        <w:rPr>
          <w:rFonts w:ascii="Arial" w:hAnsi="Arial" w:cs="Arial"/>
        </w:rPr>
        <w:t xml:space="preserve"> by the NMC (2018) that challenging </w:t>
      </w:r>
      <w:r>
        <w:rPr>
          <w:rFonts w:ascii="Arial" w:hAnsi="Arial" w:cs="Arial"/>
        </w:rPr>
        <w:t>behaviour</w:t>
      </w:r>
      <w:r>
        <w:rPr>
          <w:rFonts w:ascii="Arial" w:hAnsi="Arial" w:cs="Arial"/>
        </w:rPr>
        <w:t xml:space="preserve"> can include agitation and aggression, which can result from mental and emotional distress or be part of the same. </w:t>
      </w:r>
      <w:r>
        <w:rPr>
          <w:rFonts w:ascii="Arial" w:hAnsi="Arial" w:cs="Arial"/>
        </w:rPr>
        <w:t>At times this can include safe holding and restraint (NMC, 2018). The reality of this, is that it is not something I have experienced much in life thus far, and clinical placement presents real situations where challenging behaviour occurs that mental health nurses must deal with</w:t>
      </w:r>
      <w:r>
        <w:rPr>
          <w:rFonts w:ascii="Arial" w:hAnsi="Arial" w:cs="Arial"/>
        </w:rPr>
        <w:t xml:space="preserve">. Walsh et al. (2020) highlights </w:t>
      </w:r>
      <w:r>
        <w:rPr>
          <w:rFonts w:ascii="Arial" w:hAnsi="Arial" w:cs="Arial"/>
        </w:rPr>
        <w:t xml:space="preserve">the learning opportunities in the clinical environment in this regard. As well as getting the opportunity to practice in the clinical setting, </w:t>
      </w:r>
      <w:r>
        <w:rPr>
          <w:rFonts w:ascii="Arial" w:hAnsi="Arial" w:cs="Arial"/>
        </w:rPr>
        <w:t>role play is identified by Wrycraft (2015) as having good learning potential in this regard. Improving my scope of practice depends on my being able to deal with challenging patients, so gaining this support and overcoming threats of time/staff shortages will be important in this regard.</w:t>
      </w:r>
    </w:p>
    <w:p w14:paraId="27F921E7" w14:textId="77777777">
      <w:pPr>
        <w:spacing w:after="0" w:line="360" w:lineRule="auto"/>
        <w:jc w:val="both"/>
        <w:rPr>
          <w:rFonts w:ascii="Arial" w:hAnsi="Arial" w:cs="Arial"/>
        </w:rPr>
      </w:pPr>
    </w:p>
    <w:p w14:paraId="6ED7E2D6" w14:textId="6451C953">
      <w:pPr>
        <w:spacing w:after="0" w:line="360" w:lineRule="auto"/>
        <w:jc w:val="both"/>
        <w:rPr>
          <w:rFonts w:ascii="Arial" w:hAnsi="Arial" w:cs="Arial"/>
        </w:rPr>
      </w:pPr>
      <w:r>
        <w:rPr>
          <w:rFonts w:ascii="Arial" w:hAnsi="Arial" w:cs="Arial"/>
        </w:rPr>
        <w:t xml:space="preserve">On delegation, it is very clear within the NMC (2018) Code that nurses must be able to do </w:t>
      </w:r>
      <w:r>
        <w:rPr>
          <w:rFonts w:ascii="Arial" w:hAnsi="Arial" w:cs="Arial"/>
        </w:rPr>
        <w:t>this and</w:t>
      </w:r>
      <w:r>
        <w:rPr>
          <w:rFonts w:ascii="Arial" w:hAnsi="Arial" w:cs="Arial"/>
        </w:rPr>
        <w:t xml:space="preserve"> be accountable for it. </w:t>
      </w:r>
      <w:r>
        <w:rPr>
          <w:rFonts w:ascii="Arial" w:hAnsi="Arial" w:cs="Arial"/>
        </w:rPr>
        <w:t>Delegation has been highlighted in the research as a skill that newly qualified nurses see as lacking in themselves</w:t>
      </w:r>
      <w:r>
        <w:rPr>
          <w:rFonts w:ascii="Arial" w:hAnsi="Arial" w:cs="Arial"/>
        </w:rPr>
        <w:t xml:space="preserve">, and learning it is an ongoing activity, not a one-off experience (Clarke, 2021). </w:t>
      </w:r>
      <w:r>
        <w:rPr>
          <w:rFonts w:ascii="Arial" w:hAnsi="Arial" w:cs="Arial"/>
        </w:rPr>
        <w:t>Meanwhile, delegation in practice provides good learning opportunities (Crevacore et al., 2023). Therefore, this is another key area where I can learn both through observing and through putting my learnings into practice in a structured way, under the supervision of my placement supervisor, by delegating to nursing assistants. Finally, I have pinpointed how I wish to improve my organisational skills, so that I can get everything accomplished that I need to</w:t>
      </w:r>
      <w:r>
        <w:rPr>
          <w:rFonts w:ascii="Arial" w:hAnsi="Arial" w:cs="Arial"/>
        </w:rPr>
        <w:t xml:space="preserve">, in a timely manner. Again, this, I see as a great opportunity for learning on clinical placement through learning from peers, in particular – both observing them and asking them for tips on how to improve in this area. </w:t>
      </w:r>
    </w:p>
    <w:p w14:paraId="6C14CCC9" w14:textId="77777777">
      <w:pPr>
        <w:spacing w:after="0" w:line="360" w:lineRule="auto"/>
        <w:jc w:val="both"/>
        <w:rPr>
          <w:rFonts w:ascii="Arial" w:hAnsi="Arial" w:cs="Arial"/>
        </w:rPr>
      </w:pPr>
    </w:p>
    <w:p w14:paraId="525E063A" w14:textId="77777777">
      <w:pPr>
        <w:spacing w:after="0" w:line="360" w:lineRule="auto"/>
        <w:jc w:val="both"/>
        <w:rPr>
          <w:rFonts w:ascii="Arial" w:hAnsi="Arial" w:cs="Arial"/>
        </w:rPr>
      </w:pPr>
      <w:r>
        <w:rPr>
          <w:rFonts w:ascii="Arial" w:hAnsi="Arial" w:cs="Arial"/>
        </w:rPr>
        <w:t xml:space="preserve">This essay has examined </w:t>
      </w:r>
      <w:r>
        <w:rPr>
          <w:rFonts w:ascii="Arial" w:hAnsi="Arial" w:cs="Arial"/>
        </w:rPr>
        <w:t>the role that mental health nurses play in teaching and helping to support students in practice.</w:t>
      </w:r>
      <w:r>
        <w:rPr>
          <w:rFonts w:ascii="Arial" w:hAnsi="Arial" w:cs="Arial"/>
        </w:rPr>
        <w:t xml:space="preserve"> It has been demonstrated as part of the NMC Code that nurses do have a requirement as part of this to provide learning for student nurses. The discussion has</w:t>
      </w:r>
      <w:r>
        <w:rPr>
          <w:rFonts w:ascii="Arial" w:hAnsi="Arial" w:cs="Arial"/>
        </w:rPr>
        <w:t xml:space="preserve"> examined strengths, weaknesses, opportunities and threats in this regard and has seen that </w:t>
      </w:r>
      <w:r>
        <w:rPr>
          <w:rFonts w:ascii="Arial" w:hAnsi="Arial" w:cs="Arial"/>
        </w:rPr>
        <w:t xml:space="preserve">threats such as staffing shortages have the potential to detrimentally impact the quality of the learning experience. Meanwhile, the weakness of defensiveness can impact on good learning opportunities. </w:t>
      </w:r>
    </w:p>
    <w:p w14:paraId="1C0EA0E3" w14:textId="30A55942">
      <w:pPr>
        <w:spacing w:after="0" w:line="360" w:lineRule="auto"/>
        <w:jc w:val="both"/>
        <w:rPr>
          <w:rFonts w:ascii="Arial" w:hAnsi="Arial" w:cs="Arial"/>
        </w:rPr>
      </w:pPr>
      <w:r>
        <w:rPr>
          <w:rFonts w:ascii="Arial" w:hAnsi="Arial" w:cs="Arial"/>
        </w:rPr>
        <w:lastRenderedPageBreak/>
        <w:t xml:space="preserve">However, overall, the clinical environment provides student nurses good potential to learn through observation of role models, gaining feedback and having a chance to observe and practice techniques. </w:t>
      </w:r>
      <w:r>
        <w:rPr>
          <w:rFonts w:ascii="Arial" w:hAnsi="Arial" w:cs="Arial"/>
        </w:rPr>
        <w:t xml:space="preserve">Subsequent to analysis of the support that mental health nurses provide to student nurses, discussion of a SMART action plan demonstrates how scope of capabilities can be improved through learning in clinical placement in particular. </w:t>
      </w:r>
    </w:p>
    <w:p w14:paraId="5A5F95C8" w14:textId="77777777">
      <w:pPr>
        <w:spacing w:after="0" w:line="360" w:lineRule="auto"/>
        <w:jc w:val="both"/>
        <w:rPr>
          <w:rFonts w:ascii="Arial" w:hAnsi="Arial" w:cs="Arial"/>
        </w:rPr>
      </w:pPr>
    </w:p>
    <w:p w14:paraId="4E05FF44" w14:textId="77777777">
      <w:pPr>
        <w:spacing w:after="0" w:line="360" w:lineRule="auto"/>
        <w:jc w:val="both"/>
        <w:rPr>
          <w:rFonts w:ascii="Arial" w:hAnsi="Arial" w:cs="Arial"/>
        </w:rPr>
      </w:pPr>
    </w:p>
    <w:p w14:paraId="4D53B1EB" w14:textId="77777777">
      <w:pPr>
        <w:spacing w:after="0" w:line="360" w:lineRule="auto"/>
        <w:jc w:val="both"/>
        <w:rPr>
          <w:rFonts w:ascii="Arial" w:hAnsi="Arial" w:cs="Arial"/>
        </w:rPr>
      </w:pPr>
    </w:p>
    <w:p w14:paraId="30B2C9EA" w14:textId="77777777">
      <w:pPr>
        <w:spacing w:after="0" w:line="360" w:lineRule="auto"/>
        <w:jc w:val="both"/>
        <w:rPr>
          <w:rFonts w:ascii="Arial" w:hAnsi="Arial" w:cs="Arial"/>
        </w:rPr>
      </w:pPr>
    </w:p>
    <w:p w14:paraId="49C2CD41" w14:textId="77777777">
      <w:pPr>
        <w:spacing w:after="0" w:line="360" w:lineRule="auto"/>
        <w:jc w:val="both"/>
        <w:rPr>
          <w:rFonts w:ascii="Arial" w:hAnsi="Arial" w:cs="Arial"/>
        </w:rPr>
      </w:pPr>
    </w:p>
    <w:p w14:paraId="7BA15CF4" w14:textId="77777777">
      <w:pPr>
        <w:spacing w:after="0" w:line="360" w:lineRule="auto"/>
        <w:jc w:val="both"/>
        <w:rPr>
          <w:rFonts w:ascii="Arial" w:hAnsi="Arial" w:cs="Arial"/>
        </w:rPr>
      </w:pPr>
    </w:p>
    <w:p w14:paraId="2FDDC8C3" w14:textId="77777777">
      <w:pPr>
        <w:spacing w:after="0" w:line="360" w:lineRule="auto"/>
        <w:jc w:val="both"/>
        <w:rPr>
          <w:rFonts w:ascii="Arial" w:hAnsi="Arial" w:cs="Arial"/>
        </w:rPr>
      </w:pPr>
    </w:p>
    <w:p w14:paraId="42A8EE17" w14:textId="77777777">
      <w:pPr>
        <w:spacing w:after="0" w:line="360" w:lineRule="auto"/>
        <w:jc w:val="both"/>
        <w:rPr>
          <w:rFonts w:ascii="Arial" w:hAnsi="Arial" w:cs="Arial"/>
        </w:rPr>
      </w:pPr>
    </w:p>
    <w:p w14:paraId="79CF1EC9" w14:textId="77777777">
      <w:pPr>
        <w:spacing w:after="0" w:line="360" w:lineRule="auto"/>
        <w:jc w:val="both"/>
        <w:rPr>
          <w:rFonts w:ascii="Arial" w:hAnsi="Arial" w:cs="Arial"/>
        </w:rPr>
      </w:pPr>
    </w:p>
    <w:p w14:paraId="4B9D55CE" w14:textId="77777777">
      <w:pPr>
        <w:spacing w:after="0" w:line="360" w:lineRule="auto"/>
        <w:jc w:val="both"/>
        <w:rPr>
          <w:rFonts w:ascii="Arial" w:hAnsi="Arial" w:cs="Arial"/>
        </w:rPr>
      </w:pPr>
    </w:p>
    <w:p w14:paraId="66D28857" w14:textId="77777777">
      <w:pPr>
        <w:spacing w:after="0" w:line="360" w:lineRule="auto"/>
        <w:jc w:val="both"/>
        <w:rPr>
          <w:rFonts w:ascii="Arial" w:hAnsi="Arial" w:cs="Arial"/>
        </w:rPr>
      </w:pPr>
    </w:p>
    <w:p w14:paraId="6E8FD334" w14:textId="77777777">
      <w:pPr>
        <w:spacing w:after="0" w:line="360" w:lineRule="auto"/>
        <w:jc w:val="both"/>
        <w:rPr>
          <w:rFonts w:ascii="Arial" w:hAnsi="Arial" w:cs="Arial"/>
        </w:rPr>
      </w:pPr>
    </w:p>
    <w:p w14:paraId="6E748281" w14:textId="77777777">
      <w:pPr>
        <w:spacing w:after="0" w:line="360" w:lineRule="auto"/>
        <w:jc w:val="both"/>
        <w:rPr>
          <w:rFonts w:ascii="Arial" w:hAnsi="Arial" w:cs="Arial"/>
        </w:rPr>
      </w:pPr>
    </w:p>
    <w:p w14:paraId="7A7F17EC" w14:textId="77777777">
      <w:pPr>
        <w:spacing w:after="0" w:line="360" w:lineRule="auto"/>
        <w:jc w:val="both"/>
        <w:rPr>
          <w:rFonts w:ascii="Arial" w:hAnsi="Arial" w:cs="Arial"/>
        </w:rPr>
      </w:pPr>
    </w:p>
    <w:p w14:paraId="5285D5D4" w14:textId="77777777">
      <w:pPr>
        <w:spacing w:after="0" w:line="360" w:lineRule="auto"/>
        <w:jc w:val="both"/>
        <w:rPr>
          <w:rFonts w:ascii="Arial" w:hAnsi="Arial" w:cs="Arial"/>
        </w:rPr>
      </w:pPr>
    </w:p>
    <w:p w14:paraId="21E69B4C" w14:textId="77777777">
      <w:pPr>
        <w:spacing w:after="0" w:line="360" w:lineRule="auto"/>
        <w:jc w:val="both"/>
        <w:rPr>
          <w:rFonts w:ascii="Arial" w:hAnsi="Arial" w:cs="Arial"/>
        </w:rPr>
      </w:pPr>
    </w:p>
    <w:p w14:paraId="0B9C15F1" w14:textId="77777777">
      <w:pPr>
        <w:spacing w:after="0" w:line="360" w:lineRule="auto"/>
        <w:jc w:val="both"/>
        <w:rPr>
          <w:rFonts w:ascii="Arial" w:hAnsi="Arial" w:cs="Arial"/>
        </w:rPr>
      </w:pPr>
    </w:p>
    <w:p w14:paraId="3E870C18" w14:textId="77777777">
      <w:pPr>
        <w:spacing w:after="0" w:line="360" w:lineRule="auto"/>
        <w:jc w:val="both"/>
        <w:rPr>
          <w:rFonts w:ascii="Arial" w:hAnsi="Arial" w:cs="Arial"/>
        </w:rPr>
      </w:pPr>
    </w:p>
    <w:p w14:paraId="222287A8" w14:textId="77777777">
      <w:pPr>
        <w:spacing w:after="0" w:line="360" w:lineRule="auto"/>
        <w:jc w:val="both"/>
        <w:rPr>
          <w:rFonts w:ascii="Arial" w:hAnsi="Arial" w:cs="Arial"/>
        </w:rPr>
      </w:pPr>
    </w:p>
    <w:p w14:paraId="1D22D24B" w14:textId="77777777">
      <w:pPr>
        <w:spacing w:after="0" w:line="360" w:lineRule="auto"/>
        <w:jc w:val="both"/>
        <w:rPr>
          <w:rFonts w:ascii="Arial" w:hAnsi="Arial" w:cs="Arial"/>
        </w:rPr>
      </w:pPr>
    </w:p>
    <w:p w14:paraId="47FD6D49" w14:textId="77777777">
      <w:pPr>
        <w:spacing w:after="0" w:line="360" w:lineRule="auto"/>
        <w:jc w:val="both"/>
        <w:rPr>
          <w:rFonts w:ascii="Arial" w:hAnsi="Arial" w:cs="Arial"/>
        </w:rPr>
      </w:pPr>
    </w:p>
    <w:p w14:paraId="6FCF33D4" w14:textId="77777777">
      <w:pPr>
        <w:spacing w:after="0" w:line="360" w:lineRule="auto"/>
        <w:jc w:val="both"/>
        <w:rPr>
          <w:rFonts w:ascii="Arial" w:hAnsi="Arial" w:cs="Arial"/>
        </w:rPr>
      </w:pPr>
    </w:p>
    <w:p w14:paraId="6E125BEB" w14:textId="77777777">
      <w:pPr>
        <w:spacing w:after="0" w:line="360" w:lineRule="auto"/>
        <w:jc w:val="both"/>
        <w:rPr>
          <w:rFonts w:ascii="Arial" w:hAnsi="Arial" w:cs="Arial"/>
        </w:rPr>
      </w:pPr>
    </w:p>
    <w:p w14:paraId="7E97F31E" w14:textId="77777777">
      <w:pPr>
        <w:spacing w:after="0" w:line="360" w:lineRule="auto"/>
        <w:jc w:val="both"/>
        <w:rPr>
          <w:rFonts w:ascii="Arial" w:hAnsi="Arial" w:cs="Arial"/>
        </w:rPr>
      </w:pPr>
    </w:p>
    <w:p w14:paraId="68375992" w14:textId="77777777">
      <w:pPr>
        <w:spacing w:after="0" w:line="360" w:lineRule="auto"/>
        <w:jc w:val="both"/>
        <w:rPr>
          <w:rFonts w:ascii="Arial" w:hAnsi="Arial" w:cs="Arial"/>
        </w:rPr>
      </w:pPr>
    </w:p>
    <w:p w14:paraId="36D10E0E" w14:textId="77777777">
      <w:pPr>
        <w:spacing w:after="0" w:line="360" w:lineRule="auto"/>
        <w:jc w:val="both"/>
        <w:rPr>
          <w:rFonts w:ascii="Arial" w:hAnsi="Arial" w:cs="Arial"/>
        </w:rPr>
      </w:pPr>
    </w:p>
    <w:p w14:paraId="075CD000" w14:textId="77777777">
      <w:pPr>
        <w:spacing w:after="0" w:line="360" w:lineRule="auto"/>
        <w:jc w:val="both"/>
        <w:rPr>
          <w:rFonts w:ascii="Arial" w:hAnsi="Arial" w:cs="Arial"/>
        </w:rPr>
      </w:pPr>
    </w:p>
    <w:p w14:paraId="705B8D35" w14:textId="77777777">
      <w:pPr>
        <w:spacing w:after="0" w:line="360" w:lineRule="auto"/>
        <w:jc w:val="both"/>
        <w:rPr>
          <w:rFonts w:ascii="Arial" w:hAnsi="Arial" w:cs="Arial"/>
        </w:rPr>
      </w:pPr>
    </w:p>
    <w:p w14:paraId="0D94D22F" w14:textId="22DCAC97">
      <w:pPr>
        <w:spacing w:after="0" w:line="360" w:lineRule="auto"/>
        <w:jc w:val="both"/>
        <w:rPr>
          <w:rFonts w:ascii="Arial" w:hAnsi="Arial" w:cs="Arial"/>
          <w:b/>
          <w:bCs/>
        </w:rPr>
      </w:pPr>
      <w:r>
        <w:rPr>
          <w:rFonts w:ascii="Arial" w:hAnsi="Arial" w:cs="Arial"/>
          <w:b/>
          <w:bCs/>
        </w:rPr>
        <w:lastRenderedPageBreak/>
        <w:t>References</w:t>
      </w:r>
    </w:p>
    <w:p w14:paraId="0E681AB7" w14:textId="77777777">
      <w:pPr>
        <w:spacing w:after="0" w:line="360" w:lineRule="auto"/>
        <w:jc w:val="both"/>
        <w:rPr>
          <w:rFonts w:ascii="Arial" w:hAnsi="Arial" w:cs="Arial"/>
        </w:rPr>
      </w:pPr>
    </w:p>
    <w:p w14:paraId="7E50158B" w14:textId="6CACDF88">
      <w:pPr>
        <w:spacing w:after="0" w:line="360" w:lineRule="auto"/>
        <w:jc w:val="both"/>
        <w:rPr>
          <w:rFonts w:ascii="Arial" w:hAnsi="Arial" w:cs="Arial"/>
        </w:rPr>
      </w:pPr>
      <w:r>
        <w:rPr>
          <w:rFonts w:ascii="Arial" w:hAnsi="Arial" w:cs="Arial"/>
        </w:rPr>
        <w:t xml:space="preserve">Bastable, S.B. (2017) </w:t>
      </w:r>
      <w:r>
        <w:rPr>
          <w:rFonts w:ascii="Arial" w:hAnsi="Arial" w:cs="Arial"/>
          <w:i/>
          <w:iCs/>
        </w:rPr>
        <w:t>Nurse as Educator</w:t>
      </w:r>
      <w:r>
        <w:rPr>
          <w:rFonts w:ascii="Arial" w:hAnsi="Arial" w:cs="Arial"/>
        </w:rPr>
        <w:t>, 5</w:t>
      </w:r>
      <w:r>
        <w:rPr>
          <w:rFonts w:ascii="Arial" w:hAnsi="Arial" w:cs="Arial"/>
          <w:vertAlign w:val="superscript"/>
        </w:rPr>
        <w:t>th</w:t>
      </w:r>
      <w:r>
        <w:rPr>
          <w:rFonts w:ascii="Arial" w:hAnsi="Arial" w:cs="Arial"/>
        </w:rPr>
        <w:t xml:space="preserve"> edition, London: Jones &amp; Bartlett Learning</w:t>
      </w:r>
    </w:p>
    <w:p w14:paraId="56ED78C9" w14:textId="77777777">
      <w:pPr>
        <w:spacing w:after="0" w:line="360" w:lineRule="auto"/>
        <w:jc w:val="both"/>
        <w:rPr>
          <w:rFonts w:ascii="Arial" w:hAnsi="Arial" w:cs="Arial"/>
        </w:rPr>
      </w:pPr>
    </w:p>
    <w:p w14:paraId="213DF69C" w14:textId="4F91E7AB">
      <w:pPr>
        <w:spacing w:after="0" w:line="360" w:lineRule="auto"/>
        <w:jc w:val="both"/>
        <w:rPr>
          <w:rFonts w:ascii="Arial" w:hAnsi="Arial" w:cs="Arial"/>
        </w:rPr>
      </w:pPr>
      <w:r>
        <w:rPr>
          <w:rFonts w:ascii="Arial" w:hAnsi="Arial" w:cs="Arial"/>
        </w:rPr>
        <w:t xml:space="preserve">Bifarin, O., Felton, A. and Prince, Z. (2022) Defensive practices in mental health nursing: Professionalism and poignant tensions, </w:t>
      </w:r>
      <w:r>
        <w:rPr>
          <w:rFonts w:ascii="Arial" w:hAnsi="Arial" w:cs="Arial"/>
          <w:i/>
          <w:iCs/>
        </w:rPr>
        <w:t>Mental Health Nursing</w:t>
      </w:r>
      <w:r>
        <w:rPr>
          <w:rFonts w:ascii="Arial" w:hAnsi="Arial" w:cs="Arial"/>
        </w:rPr>
        <w:t xml:space="preserve">, </w:t>
      </w:r>
      <w:r>
        <w:rPr>
          <w:rFonts w:ascii="Arial" w:hAnsi="Arial" w:cs="Arial"/>
        </w:rPr>
        <w:t>31 (3) 743-751</w:t>
      </w:r>
    </w:p>
    <w:p w14:paraId="0FFF0215" w14:textId="77777777">
      <w:pPr>
        <w:spacing w:after="0" w:line="360" w:lineRule="auto"/>
        <w:jc w:val="both"/>
        <w:rPr>
          <w:rFonts w:ascii="Arial" w:hAnsi="Arial" w:cs="Arial"/>
        </w:rPr>
      </w:pPr>
    </w:p>
    <w:p w14:paraId="1A625401" w14:textId="679B27C5">
      <w:pPr>
        <w:spacing w:after="0" w:line="360" w:lineRule="auto"/>
        <w:jc w:val="both"/>
        <w:rPr>
          <w:rFonts w:ascii="Arial" w:hAnsi="Arial" w:cs="Arial"/>
        </w:rPr>
      </w:pPr>
      <w:r>
        <w:rPr>
          <w:rFonts w:ascii="Arial" w:hAnsi="Arial" w:cs="Arial"/>
        </w:rPr>
        <w:t xml:space="preserve">Brunero, S., Everett, B. and Ramjan, L. (2020) Clarity, confidence and complexity: Learning from mental health nurses' experiences of events involving physiological deterioration of consumers in acute inpatient mental health settings, </w:t>
      </w:r>
      <w:r>
        <w:rPr>
          <w:rFonts w:ascii="Arial" w:hAnsi="Arial" w:cs="Arial"/>
          <w:i/>
          <w:iCs/>
        </w:rPr>
        <w:t>Journal of Clinical Nursing</w:t>
      </w:r>
      <w:r>
        <w:rPr>
          <w:rFonts w:ascii="Arial" w:hAnsi="Arial" w:cs="Arial"/>
          <w:i/>
          <w:iCs/>
        </w:rPr>
        <w:t>,</w:t>
      </w:r>
      <w:r>
        <w:rPr>
          <w:rFonts w:ascii="Arial" w:hAnsi="Arial" w:cs="Arial"/>
        </w:rPr>
        <w:t xml:space="preserve"> 29 (7-8) 1102-1114</w:t>
      </w:r>
    </w:p>
    <w:p w14:paraId="3A3D8BE4" w14:textId="77777777">
      <w:pPr>
        <w:spacing w:after="0" w:line="360" w:lineRule="auto"/>
        <w:jc w:val="both"/>
        <w:rPr>
          <w:rFonts w:ascii="Arial" w:hAnsi="Arial" w:cs="Arial"/>
        </w:rPr>
      </w:pPr>
    </w:p>
    <w:p w14:paraId="589844A0" w14:textId="5165817B">
      <w:pPr>
        <w:spacing w:after="0" w:line="360" w:lineRule="auto"/>
        <w:jc w:val="both"/>
        <w:rPr>
          <w:rFonts w:ascii="Arial" w:hAnsi="Arial" w:cs="Arial"/>
        </w:rPr>
      </w:pPr>
      <w:r>
        <w:rPr>
          <w:rFonts w:ascii="Arial" w:hAnsi="Arial" w:cs="Arial"/>
        </w:rPr>
        <w:t xml:space="preserve">Cant, R., Ryan, C. and Cooper, S. (2021) What Helps, What Hinders? Undergraduate Nursing Students’ Perceptions of Clinical Placements Based on a Thematic Synthesis of Literature, </w:t>
      </w:r>
      <w:r>
        <w:rPr>
          <w:rFonts w:ascii="Arial" w:hAnsi="Arial" w:cs="Arial"/>
          <w:i/>
          <w:iCs/>
        </w:rPr>
        <w:t>SAGE Open Nursing</w:t>
      </w:r>
      <w:r>
        <w:rPr>
          <w:rFonts w:ascii="Arial" w:hAnsi="Arial" w:cs="Arial"/>
        </w:rPr>
        <w:t xml:space="preserve">, </w:t>
      </w:r>
      <w:r>
        <w:rPr>
          <w:rFonts w:ascii="Arial" w:hAnsi="Arial" w:cs="Arial"/>
        </w:rPr>
        <w:t>7 (1) doi: 10.1177/23779608211035845</w:t>
      </w:r>
    </w:p>
    <w:p w14:paraId="248361F5" w14:textId="77777777">
      <w:pPr>
        <w:spacing w:after="0" w:line="360" w:lineRule="auto"/>
        <w:jc w:val="both"/>
        <w:rPr>
          <w:rFonts w:ascii="Arial" w:hAnsi="Arial" w:cs="Arial"/>
        </w:rPr>
      </w:pPr>
    </w:p>
    <w:p w14:paraId="0180ED17" w14:textId="69930AAC">
      <w:pPr>
        <w:spacing w:after="0" w:line="360" w:lineRule="auto"/>
        <w:jc w:val="both"/>
        <w:rPr>
          <w:rFonts w:ascii="Arial" w:hAnsi="Arial" w:cs="Arial"/>
        </w:rPr>
      </w:pPr>
      <w:r>
        <w:rPr>
          <w:rFonts w:ascii="Arial" w:hAnsi="Arial" w:cs="Arial"/>
        </w:rPr>
        <w:t xml:space="preserve">Clarke, H. (2021) How pre-registration nursing students acquire delegation skills: A systematic literature review, </w:t>
      </w:r>
      <w:r>
        <w:rPr>
          <w:rFonts w:ascii="Arial" w:hAnsi="Arial" w:cs="Arial"/>
          <w:i/>
          <w:iCs/>
        </w:rPr>
        <w:t>Nurse Education Today</w:t>
      </w:r>
      <w:r>
        <w:rPr>
          <w:rFonts w:ascii="Arial" w:hAnsi="Arial" w:cs="Arial"/>
        </w:rPr>
        <w:t xml:space="preserve">, 106 (1) doi: </w:t>
      </w:r>
      <w:r>
        <w:rPr>
          <w:rFonts w:ascii="Arial" w:hAnsi="Arial" w:cs="Arial"/>
        </w:rPr>
        <w:t>https://doi.org/10.1016/j.nedt.2021.105096</w:t>
      </w:r>
    </w:p>
    <w:p w14:paraId="05D24205" w14:textId="77777777">
      <w:pPr>
        <w:spacing w:after="0" w:line="360" w:lineRule="auto"/>
        <w:jc w:val="both"/>
        <w:rPr>
          <w:rFonts w:ascii="Arial" w:hAnsi="Arial" w:cs="Arial"/>
        </w:rPr>
      </w:pPr>
    </w:p>
    <w:p w14:paraId="1ED58362" w14:textId="32145633">
      <w:pPr>
        <w:spacing w:after="0" w:line="360" w:lineRule="auto"/>
        <w:jc w:val="both"/>
        <w:rPr>
          <w:rFonts w:ascii="Arial" w:hAnsi="Arial" w:cs="Arial"/>
        </w:rPr>
      </w:pPr>
      <w:r>
        <w:rPr>
          <w:rFonts w:ascii="Arial" w:hAnsi="Arial" w:cs="Arial"/>
        </w:rPr>
        <w:t xml:space="preserve">Crevacore, C., Jacob, E., Coventry, L.L. and Duffield, C. (2022) Integrative review: Factors impacting effective delegation practices by registered nurses to assistants in nursing, </w:t>
      </w:r>
      <w:r>
        <w:rPr>
          <w:rFonts w:ascii="Arial" w:hAnsi="Arial" w:cs="Arial"/>
          <w:i/>
          <w:iCs/>
        </w:rPr>
        <w:t>JAN,</w:t>
      </w:r>
      <w:r>
        <w:rPr>
          <w:rFonts w:ascii="Arial" w:hAnsi="Arial" w:cs="Arial"/>
        </w:rPr>
        <w:t xml:space="preserve"> 79 (3) 885-895</w:t>
      </w:r>
    </w:p>
    <w:p w14:paraId="1D00958C" w14:textId="77777777">
      <w:pPr>
        <w:spacing w:after="0" w:line="360" w:lineRule="auto"/>
        <w:jc w:val="both"/>
        <w:rPr>
          <w:rFonts w:ascii="Arial" w:hAnsi="Arial" w:cs="Arial"/>
        </w:rPr>
      </w:pPr>
    </w:p>
    <w:p w14:paraId="29B5A093" w14:textId="58E2DA72">
      <w:pPr>
        <w:spacing w:after="0" w:line="360" w:lineRule="auto"/>
        <w:jc w:val="both"/>
        <w:rPr>
          <w:rFonts w:ascii="Arial" w:hAnsi="Arial" w:cs="Arial"/>
        </w:rPr>
      </w:pPr>
      <w:r>
        <w:rPr>
          <w:rFonts w:ascii="Arial" w:hAnsi="Arial" w:cs="Arial"/>
        </w:rPr>
        <w:t xml:space="preserve">Crisp, J., Douglas, C., Rebeiro, G. and Waters, D. (2020) </w:t>
      </w:r>
      <w:r>
        <w:rPr>
          <w:rFonts w:ascii="Arial" w:hAnsi="Arial" w:cs="Arial"/>
          <w:i/>
          <w:iCs/>
        </w:rPr>
        <w:t>Fundamentals of Nur</w:t>
      </w:r>
      <w:r>
        <w:rPr>
          <w:rFonts w:ascii="Arial" w:hAnsi="Arial" w:cs="Arial"/>
          <w:i/>
          <w:iCs/>
        </w:rPr>
        <w:t>sing</w:t>
      </w:r>
      <w:r>
        <w:rPr>
          <w:rFonts w:ascii="Arial" w:hAnsi="Arial" w:cs="Arial"/>
        </w:rPr>
        <w:t>, 6</w:t>
      </w:r>
      <w:r>
        <w:rPr>
          <w:rFonts w:ascii="Arial" w:hAnsi="Arial" w:cs="Arial"/>
          <w:vertAlign w:val="superscript"/>
        </w:rPr>
        <w:t>th</w:t>
      </w:r>
      <w:r>
        <w:rPr>
          <w:rFonts w:ascii="Arial" w:hAnsi="Arial" w:cs="Arial"/>
        </w:rPr>
        <w:t xml:space="preserve"> edition, </w:t>
      </w:r>
      <w:r>
        <w:rPr>
          <w:rFonts w:ascii="Arial" w:hAnsi="Arial" w:cs="Arial"/>
        </w:rPr>
        <w:t>London: Elsevier Health Sciences</w:t>
      </w:r>
    </w:p>
    <w:p w14:paraId="597289BF" w14:textId="77777777">
      <w:pPr>
        <w:spacing w:after="0" w:line="360" w:lineRule="auto"/>
        <w:jc w:val="both"/>
        <w:rPr>
          <w:rFonts w:ascii="Arial" w:hAnsi="Arial" w:cs="Arial"/>
        </w:rPr>
      </w:pPr>
    </w:p>
    <w:p w14:paraId="536278B3" w14:textId="1C6E7B89">
      <w:pPr>
        <w:spacing w:after="0" w:line="360" w:lineRule="auto"/>
        <w:jc w:val="both"/>
        <w:rPr>
          <w:rFonts w:ascii="Arial" w:hAnsi="Arial" w:cs="Arial"/>
        </w:rPr>
      </w:pPr>
      <w:r>
        <w:rPr>
          <w:rFonts w:ascii="Arial" w:hAnsi="Arial" w:cs="Arial"/>
        </w:rPr>
        <w:t xml:space="preserve">Dashtipour, P., Frost, N. and Traynor, M. (2020) The idealization of ‘compassion’ in trainee nurses’ talk: A psychosocial focus group study, </w:t>
      </w:r>
      <w:r>
        <w:rPr>
          <w:rFonts w:ascii="Arial" w:hAnsi="Arial" w:cs="Arial"/>
          <w:i/>
          <w:iCs/>
        </w:rPr>
        <w:t>Human Relations,</w:t>
      </w:r>
      <w:r>
        <w:rPr>
          <w:rFonts w:ascii="Arial" w:hAnsi="Arial" w:cs="Arial"/>
        </w:rPr>
        <w:t xml:space="preserve"> 74 (12) </w:t>
      </w:r>
      <w:r>
        <w:rPr>
          <w:rFonts w:ascii="Arial" w:hAnsi="Arial" w:cs="Arial"/>
        </w:rPr>
        <w:t>2102-2125</w:t>
      </w:r>
    </w:p>
    <w:p w14:paraId="3E259C25" w14:textId="77777777">
      <w:pPr>
        <w:spacing w:after="0" w:line="360" w:lineRule="auto"/>
        <w:jc w:val="both"/>
        <w:rPr>
          <w:rFonts w:ascii="Arial" w:hAnsi="Arial" w:cs="Arial"/>
        </w:rPr>
      </w:pPr>
    </w:p>
    <w:p w14:paraId="20B6DA7A" w14:textId="09671091">
      <w:pPr>
        <w:spacing w:after="0" w:line="360" w:lineRule="auto"/>
        <w:jc w:val="both"/>
        <w:rPr>
          <w:rFonts w:ascii="Arial" w:hAnsi="Arial" w:cs="Arial"/>
        </w:rPr>
      </w:pPr>
      <w:r>
        <w:rPr>
          <w:rFonts w:ascii="Arial" w:hAnsi="Arial" w:cs="Arial"/>
        </w:rPr>
        <w:lastRenderedPageBreak/>
        <w:t xml:space="preserve">Halstead, J.A. and Billings, D.M. (2016) </w:t>
      </w:r>
      <w:r>
        <w:rPr>
          <w:rFonts w:ascii="Arial" w:hAnsi="Arial" w:cs="Arial"/>
          <w:i/>
          <w:iCs/>
        </w:rPr>
        <w:t>Teaching in Nursing</w:t>
      </w:r>
      <w:r>
        <w:rPr>
          <w:rFonts w:ascii="Arial" w:hAnsi="Arial" w:cs="Arial"/>
        </w:rPr>
        <w:t xml:space="preserve">, </w:t>
      </w:r>
      <w:r>
        <w:rPr>
          <w:rFonts w:ascii="Arial" w:hAnsi="Arial" w:cs="Arial"/>
        </w:rPr>
        <w:t>5</w:t>
      </w:r>
      <w:r>
        <w:rPr>
          <w:rFonts w:ascii="Arial" w:hAnsi="Arial" w:cs="Arial"/>
          <w:vertAlign w:val="superscript"/>
        </w:rPr>
        <w:t>th</w:t>
      </w:r>
      <w:r>
        <w:rPr>
          <w:rFonts w:ascii="Arial" w:hAnsi="Arial" w:cs="Arial"/>
        </w:rPr>
        <w:t xml:space="preserve"> edition, </w:t>
      </w:r>
      <w:r>
        <w:rPr>
          <w:rFonts w:ascii="Arial" w:hAnsi="Arial" w:cs="Arial"/>
        </w:rPr>
        <w:t>London: Elsevier</w:t>
      </w:r>
    </w:p>
    <w:p w14:paraId="365B371B" w14:textId="77777777">
      <w:pPr>
        <w:spacing w:after="0" w:line="360" w:lineRule="auto"/>
        <w:jc w:val="both"/>
        <w:rPr>
          <w:rFonts w:ascii="Arial" w:hAnsi="Arial" w:cs="Arial"/>
        </w:rPr>
      </w:pPr>
    </w:p>
    <w:p w14:paraId="57938FF2" w14:textId="16243DEE">
      <w:pPr>
        <w:spacing w:after="0" w:line="360" w:lineRule="auto"/>
        <w:jc w:val="both"/>
        <w:rPr>
          <w:rFonts w:ascii="Arial" w:hAnsi="Arial" w:cs="Arial"/>
        </w:rPr>
      </w:pPr>
      <w:r>
        <w:rPr>
          <w:rFonts w:ascii="Arial" w:hAnsi="Arial" w:cs="Arial"/>
        </w:rPr>
        <w:t>Henderson, S., Happell, B. and Martin, T. (2007) So what is so good about clinical experience? A mental health nursing perspective</w:t>
      </w:r>
      <w:r>
        <w:rPr>
          <w:rFonts w:ascii="Arial" w:hAnsi="Arial" w:cs="Arial"/>
          <w:i/>
          <w:iCs/>
        </w:rPr>
        <w:t>, Nursing Education in Practice</w:t>
      </w:r>
      <w:r>
        <w:rPr>
          <w:rFonts w:ascii="Arial" w:hAnsi="Arial" w:cs="Arial"/>
        </w:rPr>
        <w:t>, 7 (3) 164-172</w:t>
      </w:r>
    </w:p>
    <w:p w14:paraId="7797423C" w14:textId="77777777">
      <w:pPr>
        <w:spacing w:after="0" w:line="360" w:lineRule="auto"/>
        <w:jc w:val="both"/>
        <w:rPr>
          <w:rFonts w:ascii="Arial" w:hAnsi="Arial" w:cs="Arial"/>
        </w:rPr>
      </w:pPr>
    </w:p>
    <w:p w14:paraId="0FB080C6" w14:textId="63E748F8">
      <w:pPr>
        <w:spacing w:after="0" w:line="360" w:lineRule="auto"/>
        <w:jc w:val="both"/>
        <w:rPr>
          <w:rFonts w:ascii="Arial" w:hAnsi="Arial" w:cs="Arial"/>
        </w:rPr>
      </w:pPr>
      <w:r>
        <w:rPr>
          <w:rFonts w:ascii="Arial" w:hAnsi="Arial" w:cs="Arial"/>
        </w:rPr>
        <w:t>Hill, R., Woodward, M. and Arthur, A. (2019) Collaborative Learning in Practice (CLIP): Evaluation of a new approach to clinical learning</w:t>
      </w:r>
      <w:r>
        <w:rPr>
          <w:rFonts w:ascii="Arial" w:hAnsi="Arial" w:cs="Arial"/>
        </w:rPr>
        <w:t xml:space="preserve">, </w:t>
      </w:r>
      <w:r>
        <w:rPr>
          <w:rFonts w:ascii="Arial" w:hAnsi="Arial" w:cs="Arial"/>
          <w:i/>
          <w:iCs/>
        </w:rPr>
        <w:t>Nurse Education Today</w:t>
      </w:r>
      <w:r>
        <w:rPr>
          <w:rFonts w:ascii="Arial" w:hAnsi="Arial" w:cs="Arial"/>
        </w:rPr>
        <w:t>, 85 (1) doi: https://doi.org/10.1016/j.nedt.2019.104295</w:t>
      </w:r>
    </w:p>
    <w:p w14:paraId="6439643E" w14:textId="77777777">
      <w:pPr>
        <w:spacing w:after="0" w:line="360" w:lineRule="auto"/>
        <w:jc w:val="both"/>
        <w:rPr>
          <w:rFonts w:ascii="Arial" w:hAnsi="Arial" w:cs="Arial"/>
        </w:rPr>
      </w:pPr>
    </w:p>
    <w:p w14:paraId="03609F2A" w14:textId="18218EF3">
      <w:pPr>
        <w:spacing w:after="0" w:line="360" w:lineRule="auto"/>
        <w:jc w:val="both"/>
        <w:rPr>
          <w:rFonts w:ascii="Arial" w:hAnsi="Arial" w:cs="Arial"/>
        </w:rPr>
      </w:pPr>
      <w:r>
        <w:rPr>
          <w:rFonts w:ascii="Arial" w:hAnsi="Arial" w:cs="Arial"/>
        </w:rPr>
        <w:t xml:space="preserve">Leigh, J. and Roberts, D. (2021) </w:t>
      </w:r>
      <w:r>
        <w:rPr>
          <w:rFonts w:ascii="Arial" w:hAnsi="Arial" w:cs="Arial"/>
          <w:i/>
          <w:iCs/>
        </w:rPr>
        <w:t>Supervising and Assessing Student Nurses and Midwives in Clinical Practice</w:t>
      </w:r>
      <w:r>
        <w:rPr>
          <w:rFonts w:ascii="Arial" w:hAnsi="Arial" w:cs="Arial"/>
        </w:rPr>
        <w:t xml:space="preserve">, Cheltenham: Lantern </w:t>
      </w:r>
      <w:r>
        <w:rPr>
          <w:rFonts w:ascii="Arial" w:hAnsi="Arial" w:cs="Arial"/>
        </w:rPr>
        <w:t>Publishing</w:t>
      </w:r>
    </w:p>
    <w:p w14:paraId="298FF2A3" w14:textId="77777777">
      <w:pPr>
        <w:spacing w:after="0" w:line="360" w:lineRule="auto"/>
        <w:jc w:val="both"/>
        <w:rPr>
          <w:rFonts w:ascii="Arial" w:hAnsi="Arial" w:cs="Arial"/>
        </w:rPr>
      </w:pPr>
    </w:p>
    <w:p w14:paraId="77916611" w14:textId="7490317B">
      <w:pPr>
        <w:spacing w:after="0" w:line="360" w:lineRule="auto"/>
        <w:jc w:val="both"/>
        <w:rPr>
          <w:rFonts w:ascii="Arial" w:hAnsi="Arial" w:cs="Arial"/>
        </w:rPr>
      </w:pPr>
      <w:r>
        <w:rPr>
          <w:rFonts w:ascii="Arial" w:hAnsi="Arial" w:cs="Arial"/>
        </w:rPr>
        <w:t xml:space="preserve">Markowski, M., Bower, H., Essex, R. and Yearley, C. (2021) Peer learning and collaborative placement models in health care: a systematic review and qualitative synthesis of the literature, </w:t>
      </w:r>
      <w:r>
        <w:rPr>
          <w:rFonts w:ascii="Arial" w:hAnsi="Arial" w:cs="Arial"/>
          <w:i/>
          <w:iCs/>
        </w:rPr>
        <w:t>Journal of Clinical Nursing</w:t>
      </w:r>
      <w:r>
        <w:rPr>
          <w:rFonts w:ascii="Arial" w:hAnsi="Arial" w:cs="Arial"/>
        </w:rPr>
        <w:t>, 30 (11-12) 1519-1541</w:t>
      </w:r>
    </w:p>
    <w:p w14:paraId="104B60A5" w14:textId="77777777">
      <w:pPr>
        <w:spacing w:after="0" w:line="360" w:lineRule="auto"/>
        <w:jc w:val="both"/>
        <w:rPr>
          <w:rFonts w:ascii="Arial" w:hAnsi="Arial" w:cs="Arial"/>
        </w:rPr>
      </w:pPr>
    </w:p>
    <w:p w14:paraId="74B91B6F" w14:textId="20058EFE">
      <w:pPr>
        <w:spacing w:after="0" w:line="360" w:lineRule="auto"/>
        <w:jc w:val="both"/>
        <w:rPr>
          <w:rFonts w:ascii="Arial" w:hAnsi="Arial" w:cs="Arial"/>
        </w:rPr>
      </w:pPr>
      <w:r>
        <w:rPr>
          <w:rFonts w:ascii="Arial" w:hAnsi="Arial" w:cs="Arial"/>
        </w:rPr>
        <w:t xml:space="preserve">Norman, I. and Ryrie, I. (2018) </w:t>
      </w:r>
      <w:r>
        <w:rPr>
          <w:rFonts w:ascii="Arial" w:hAnsi="Arial" w:cs="Arial"/>
          <w:i/>
          <w:iCs/>
        </w:rPr>
        <w:t>The Art and Science of Mental Health Nursing: Principles and Practice,</w:t>
      </w:r>
      <w:r>
        <w:rPr>
          <w:rFonts w:ascii="Arial" w:hAnsi="Arial" w:cs="Arial"/>
        </w:rPr>
        <w:t xml:space="preserve"> </w:t>
      </w:r>
      <w:r>
        <w:rPr>
          <w:rFonts w:ascii="Arial" w:hAnsi="Arial" w:cs="Arial"/>
        </w:rPr>
        <w:t>4</w:t>
      </w:r>
      <w:r>
        <w:rPr>
          <w:rFonts w:ascii="Arial" w:hAnsi="Arial" w:cs="Arial"/>
          <w:vertAlign w:val="superscript"/>
        </w:rPr>
        <w:t>th</w:t>
      </w:r>
      <w:r>
        <w:rPr>
          <w:rFonts w:ascii="Arial" w:hAnsi="Arial" w:cs="Arial"/>
        </w:rPr>
        <w:t xml:space="preserve"> edition, Maidenhead: McGraw Hill Education</w:t>
      </w:r>
    </w:p>
    <w:p w14:paraId="299B3AD9" w14:textId="77777777">
      <w:pPr>
        <w:spacing w:after="0" w:line="360" w:lineRule="auto"/>
        <w:jc w:val="both"/>
        <w:rPr>
          <w:rFonts w:ascii="Arial" w:hAnsi="Arial" w:cs="Arial"/>
        </w:rPr>
      </w:pPr>
    </w:p>
    <w:p w14:paraId="134FC665" w14:textId="355F54CF">
      <w:pPr>
        <w:spacing w:after="0" w:line="360" w:lineRule="auto"/>
        <w:jc w:val="both"/>
        <w:rPr>
          <w:rFonts w:ascii="Arial" w:hAnsi="Arial" w:cs="Arial"/>
        </w:rPr>
      </w:pPr>
      <w:r>
        <w:rPr>
          <w:rFonts w:ascii="Arial" w:hAnsi="Arial" w:cs="Arial"/>
        </w:rPr>
        <w:t xml:space="preserve">Northway, R. and Hopes, P. (2022) </w:t>
      </w:r>
      <w:r>
        <w:rPr>
          <w:rFonts w:ascii="Arial" w:hAnsi="Arial" w:cs="Arial"/>
          <w:i/>
          <w:iCs/>
        </w:rPr>
        <w:t>Learning Disability Nursing</w:t>
      </w:r>
      <w:r>
        <w:rPr>
          <w:rFonts w:ascii="Arial" w:hAnsi="Arial" w:cs="Arial"/>
        </w:rPr>
        <w:t>, St Albans: Critical Publishing</w:t>
      </w:r>
    </w:p>
    <w:p w14:paraId="5D3AA902" w14:textId="77777777">
      <w:pPr>
        <w:spacing w:after="0" w:line="360" w:lineRule="auto"/>
        <w:jc w:val="both"/>
        <w:rPr>
          <w:rFonts w:ascii="Arial" w:hAnsi="Arial" w:cs="Arial"/>
        </w:rPr>
      </w:pPr>
    </w:p>
    <w:p w14:paraId="52453938" w14:textId="58643D34">
      <w:pPr>
        <w:spacing w:after="0" w:line="360" w:lineRule="auto"/>
        <w:jc w:val="both"/>
        <w:rPr>
          <w:rFonts w:ascii="Arial" w:hAnsi="Arial" w:cs="Arial"/>
        </w:rPr>
      </w:pPr>
      <w:r>
        <w:rPr>
          <w:rFonts w:ascii="Arial" w:hAnsi="Arial" w:cs="Arial"/>
        </w:rPr>
        <w:t xml:space="preserve">NMC (2018) </w:t>
      </w:r>
      <w:r>
        <w:rPr>
          <w:rFonts w:ascii="Arial" w:hAnsi="Arial" w:cs="Arial"/>
          <w:i/>
          <w:iCs/>
        </w:rPr>
        <w:t>Future Nurse: Standards of proficiency for registered nurses</w:t>
      </w:r>
      <w:r>
        <w:rPr>
          <w:rFonts w:ascii="Arial" w:hAnsi="Arial" w:cs="Arial"/>
        </w:rPr>
        <w:t>, London: NMC</w:t>
      </w:r>
    </w:p>
    <w:p w14:paraId="5414DC3F" w14:textId="77777777">
      <w:pPr>
        <w:spacing w:after="0" w:line="360" w:lineRule="auto"/>
        <w:jc w:val="both"/>
        <w:rPr>
          <w:rFonts w:ascii="Arial" w:hAnsi="Arial" w:cs="Arial"/>
        </w:rPr>
      </w:pPr>
    </w:p>
    <w:p w14:paraId="3525746F" w14:textId="75D97460">
      <w:pPr>
        <w:spacing w:after="0" w:line="360" w:lineRule="auto"/>
        <w:jc w:val="both"/>
        <w:rPr>
          <w:rFonts w:ascii="Arial" w:hAnsi="Arial" w:cs="Arial"/>
        </w:rPr>
      </w:pPr>
      <w:r>
        <w:rPr>
          <w:rFonts w:ascii="Arial" w:hAnsi="Arial" w:cs="Arial"/>
        </w:rPr>
        <w:t xml:space="preserve">NMC (2018) </w:t>
      </w:r>
      <w:r>
        <w:rPr>
          <w:rFonts w:ascii="Arial" w:hAnsi="Arial" w:cs="Arial"/>
          <w:i/>
          <w:iCs/>
        </w:rPr>
        <w:t>Providing inclusive and tailored learning experiences that enable students to meet their learning outcomes</w:t>
      </w:r>
      <w:r>
        <w:rPr>
          <w:rFonts w:ascii="Arial" w:hAnsi="Arial" w:cs="Arial"/>
        </w:rPr>
        <w:t xml:space="preserve">, </w:t>
      </w:r>
      <w:r>
        <w:rPr>
          <w:rFonts w:ascii="Arial" w:hAnsi="Arial" w:cs="Arial"/>
        </w:rPr>
        <w:t>NMC, accessed 15/01/23: https://www.nmc.org.uk/supporting-information-on-standards-for-student-supervision-and-assessment/practice-supervision/what-do-practice-supervisors-do/inclusive-and-tailored-learning-experiences/</w:t>
      </w:r>
    </w:p>
    <w:p w14:paraId="42263DF7" w14:textId="77777777">
      <w:pPr>
        <w:spacing w:after="0" w:line="360" w:lineRule="auto"/>
        <w:jc w:val="both"/>
        <w:rPr>
          <w:rFonts w:ascii="Arial" w:hAnsi="Arial" w:cs="Arial"/>
        </w:rPr>
      </w:pPr>
    </w:p>
    <w:p w14:paraId="49E1B911" w14:textId="1D81D908">
      <w:pPr>
        <w:spacing w:after="0" w:line="360" w:lineRule="auto"/>
        <w:jc w:val="both"/>
        <w:rPr>
          <w:rFonts w:ascii="Arial" w:hAnsi="Arial" w:cs="Arial"/>
        </w:rPr>
      </w:pPr>
      <w:r>
        <w:rPr>
          <w:rFonts w:ascii="Arial" w:hAnsi="Arial" w:cs="Arial"/>
        </w:rPr>
        <w:t xml:space="preserve">NMC (2018) </w:t>
      </w:r>
      <w:r>
        <w:rPr>
          <w:rFonts w:ascii="Arial" w:hAnsi="Arial" w:cs="Arial"/>
          <w:i/>
          <w:iCs/>
        </w:rPr>
        <w:t>The Code</w:t>
      </w:r>
      <w:r>
        <w:rPr>
          <w:rFonts w:ascii="Arial" w:hAnsi="Arial" w:cs="Arial"/>
        </w:rPr>
        <w:t>, London: NMC</w:t>
      </w:r>
    </w:p>
    <w:p w14:paraId="47703759" w14:textId="77777777">
      <w:pPr>
        <w:spacing w:after="0" w:line="360" w:lineRule="auto"/>
        <w:jc w:val="both"/>
        <w:rPr>
          <w:rFonts w:ascii="Arial" w:hAnsi="Arial" w:cs="Arial"/>
        </w:rPr>
      </w:pPr>
    </w:p>
    <w:p w14:paraId="4DA11D59" w14:textId="1A41EED9">
      <w:pPr>
        <w:spacing w:after="0" w:line="360" w:lineRule="auto"/>
        <w:jc w:val="both"/>
        <w:rPr>
          <w:rFonts w:ascii="Arial" w:hAnsi="Arial" w:cs="Arial"/>
        </w:rPr>
      </w:pPr>
      <w:r>
        <w:rPr>
          <w:rFonts w:ascii="Arial" w:hAnsi="Arial" w:cs="Arial"/>
        </w:rPr>
        <w:t xml:space="preserve">Peate, I. (2023) </w:t>
      </w:r>
      <w:r>
        <w:rPr>
          <w:rFonts w:ascii="Arial" w:hAnsi="Arial" w:cs="Arial"/>
          <w:i/>
          <w:iCs/>
        </w:rPr>
        <w:t>Succeeding on Your Nursing Placement</w:t>
      </w:r>
      <w:r>
        <w:rPr>
          <w:rFonts w:ascii="Arial" w:hAnsi="Arial" w:cs="Arial"/>
        </w:rPr>
        <w:t>, London: Wiley</w:t>
      </w:r>
    </w:p>
    <w:p w14:paraId="0CFC43C3" w14:textId="77777777">
      <w:pPr>
        <w:spacing w:after="0" w:line="360" w:lineRule="auto"/>
        <w:jc w:val="both"/>
        <w:rPr>
          <w:rFonts w:ascii="Arial" w:hAnsi="Arial" w:cs="Arial"/>
        </w:rPr>
      </w:pPr>
    </w:p>
    <w:p w14:paraId="20983871" w14:textId="63EAC72C">
      <w:pPr>
        <w:spacing w:after="0" w:line="360" w:lineRule="auto"/>
        <w:jc w:val="both"/>
        <w:rPr>
          <w:rFonts w:ascii="Arial" w:hAnsi="Arial" w:cs="Arial"/>
        </w:rPr>
      </w:pPr>
      <w:r>
        <w:rPr>
          <w:rFonts w:ascii="Arial" w:hAnsi="Arial" w:cs="Arial"/>
        </w:rPr>
        <w:t xml:space="preserve">Peate, I., Wild, K. and Nair, M. (2014) </w:t>
      </w:r>
      <w:r>
        <w:rPr>
          <w:rFonts w:ascii="Arial" w:hAnsi="Arial" w:cs="Arial"/>
          <w:i/>
          <w:iCs/>
        </w:rPr>
        <w:t>Nursing Practice</w:t>
      </w:r>
      <w:r>
        <w:rPr>
          <w:rFonts w:ascii="Arial" w:hAnsi="Arial" w:cs="Arial"/>
        </w:rPr>
        <w:t>, London: Wiley</w:t>
      </w:r>
    </w:p>
    <w:p w14:paraId="13CE7546" w14:textId="77777777">
      <w:pPr>
        <w:spacing w:after="0" w:line="360" w:lineRule="auto"/>
        <w:jc w:val="both"/>
        <w:rPr>
          <w:rFonts w:ascii="Arial" w:hAnsi="Arial" w:cs="Arial"/>
        </w:rPr>
      </w:pPr>
    </w:p>
    <w:p w14:paraId="29257839" w14:textId="0B865B2B">
      <w:pPr>
        <w:spacing w:after="0" w:line="360" w:lineRule="auto"/>
        <w:jc w:val="both"/>
        <w:rPr>
          <w:rFonts w:ascii="Arial" w:hAnsi="Arial" w:cs="Arial"/>
        </w:rPr>
      </w:pPr>
      <w:r>
        <w:rPr>
          <w:rFonts w:ascii="Arial" w:hAnsi="Arial" w:cs="Arial"/>
        </w:rPr>
        <w:t xml:space="preserve">Prater, L. and Allen, S. (2020) </w:t>
      </w:r>
      <w:r>
        <w:rPr>
          <w:rFonts w:ascii="Arial" w:hAnsi="Arial" w:cs="Arial"/>
          <w:i/>
          <w:iCs/>
        </w:rPr>
        <w:t>Truth or Consequence: The Significance of Giving and Receiving Evaluation Feedbac</w:t>
      </w:r>
      <w:r>
        <w:rPr>
          <w:rFonts w:ascii="Arial" w:hAnsi="Arial" w:cs="Arial"/>
        </w:rPr>
        <w:t>k’ in Bradshaw, M. Hultquist, B. and Hagler, D. Innovative Teaching Strategies in Nursing and Related Health Professions. 8th Edition. Burlington: Jones and Bartlett Learning</w:t>
      </w:r>
    </w:p>
    <w:p w14:paraId="0B6CB1C5" w14:textId="77777777">
      <w:pPr>
        <w:spacing w:after="0" w:line="360" w:lineRule="auto"/>
        <w:jc w:val="both"/>
        <w:rPr>
          <w:rFonts w:ascii="Arial" w:hAnsi="Arial" w:cs="Arial"/>
        </w:rPr>
      </w:pPr>
    </w:p>
    <w:p w14:paraId="052C96AC" w14:textId="7782EB07">
      <w:pPr>
        <w:spacing w:after="0" w:line="360" w:lineRule="auto"/>
        <w:jc w:val="both"/>
        <w:rPr>
          <w:rFonts w:ascii="Arial" w:hAnsi="Arial" w:cs="Arial"/>
        </w:rPr>
      </w:pPr>
      <w:r>
        <w:rPr>
          <w:rFonts w:ascii="Arial" w:hAnsi="Arial" w:cs="Arial"/>
        </w:rPr>
        <w:t xml:space="preserve">Reading, S. and Webster, B. (2014) </w:t>
      </w:r>
      <w:r>
        <w:rPr>
          <w:rFonts w:ascii="Arial" w:hAnsi="Arial" w:cs="Arial"/>
          <w:i/>
          <w:iCs/>
        </w:rPr>
        <w:t xml:space="preserve">Achieving Competencies for Nursing Practice: </w:t>
      </w:r>
      <w:r>
        <w:rPr>
          <w:rFonts w:ascii="Arial" w:hAnsi="Arial" w:cs="Arial"/>
          <w:i/>
          <w:iCs/>
        </w:rPr>
        <w:t>A</w:t>
      </w:r>
      <w:r>
        <w:rPr>
          <w:rFonts w:ascii="Arial" w:hAnsi="Arial" w:cs="Arial"/>
          <w:i/>
          <w:iCs/>
        </w:rPr>
        <w:t xml:space="preserve"> Handbook for Student Nurses</w:t>
      </w:r>
      <w:r>
        <w:rPr>
          <w:rFonts w:ascii="Arial" w:hAnsi="Arial" w:cs="Arial"/>
        </w:rPr>
        <w:t>, Maidenhead: McGraw Hill Education</w:t>
      </w:r>
    </w:p>
    <w:p w14:paraId="6AB4F64D" w14:textId="77777777">
      <w:pPr>
        <w:spacing w:after="0" w:line="360" w:lineRule="auto"/>
        <w:jc w:val="both"/>
        <w:rPr>
          <w:rFonts w:ascii="Arial" w:hAnsi="Arial" w:cs="Arial"/>
        </w:rPr>
      </w:pPr>
    </w:p>
    <w:p w14:paraId="0F11704C" w14:textId="2E5B5C7F">
      <w:pPr>
        <w:spacing w:after="0" w:line="360" w:lineRule="auto"/>
        <w:jc w:val="both"/>
        <w:rPr>
          <w:rFonts w:ascii="Arial" w:hAnsi="Arial" w:cs="Arial"/>
        </w:rPr>
      </w:pPr>
      <w:r>
        <w:rPr>
          <w:rFonts w:ascii="Arial" w:hAnsi="Arial" w:cs="Arial"/>
        </w:rPr>
        <w:t xml:space="preserve">Selekman, J., Yonkaitis, C. and Shannon, R. (2019) </w:t>
      </w:r>
      <w:r>
        <w:rPr>
          <w:rFonts w:ascii="Arial" w:hAnsi="Arial" w:cs="Arial"/>
          <w:i/>
          <w:iCs/>
        </w:rPr>
        <w:t>School Nursing</w:t>
      </w:r>
      <w:r>
        <w:rPr>
          <w:rFonts w:ascii="Arial" w:hAnsi="Arial" w:cs="Arial"/>
        </w:rPr>
        <w:t xml:space="preserve">, </w:t>
      </w:r>
      <w:r>
        <w:rPr>
          <w:rFonts w:ascii="Arial" w:hAnsi="Arial" w:cs="Arial"/>
        </w:rPr>
        <w:t>3</w:t>
      </w:r>
      <w:r>
        <w:rPr>
          <w:rFonts w:ascii="Arial" w:hAnsi="Arial" w:cs="Arial"/>
          <w:vertAlign w:val="superscript"/>
        </w:rPr>
        <w:t>rd</w:t>
      </w:r>
      <w:r>
        <w:rPr>
          <w:rFonts w:ascii="Arial" w:hAnsi="Arial" w:cs="Arial"/>
        </w:rPr>
        <w:t xml:space="preserve"> edition, </w:t>
      </w:r>
      <w:r>
        <w:rPr>
          <w:rFonts w:ascii="Arial" w:hAnsi="Arial" w:cs="Arial"/>
        </w:rPr>
        <w:t>Philadelphia: FA Davis</w:t>
      </w:r>
    </w:p>
    <w:p w14:paraId="49FA6FE8" w14:textId="77777777">
      <w:pPr>
        <w:spacing w:after="0" w:line="360" w:lineRule="auto"/>
        <w:jc w:val="both"/>
        <w:rPr>
          <w:rFonts w:ascii="Arial" w:hAnsi="Arial" w:cs="Arial"/>
        </w:rPr>
      </w:pPr>
    </w:p>
    <w:p w14:paraId="78373077" w14:textId="05485FEC">
      <w:pPr>
        <w:spacing w:after="0" w:line="360" w:lineRule="auto"/>
        <w:jc w:val="both"/>
        <w:rPr>
          <w:rFonts w:ascii="Arial" w:hAnsi="Arial" w:cs="Arial"/>
        </w:rPr>
      </w:pPr>
      <w:r>
        <w:rPr>
          <w:rFonts w:ascii="Arial" w:hAnsi="Arial" w:cs="Arial"/>
        </w:rPr>
        <w:t xml:space="preserve">Shembavnekar, N. and Kelly, E. (2023) </w:t>
      </w:r>
      <w:r>
        <w:rPr>
          <w:rFonts w:ascii="Arial" w:hAnsi="Arial" w:cs="Arial"/>
          <w:i/>
          <w:iCs/>
        </w:rPr>
        <w:t>Retaining NHS nurses: what do trends in staff turnover tell us</w:t>
      </w:r>
      <w:r>
        <w:rPr>
          <w:rFonts w:ascii="Arial" w:hAnsi="Arial" w:cs="Arial"/>
          <w:i/>
          <w:iCs/>
        </w:rPr>
        <w:t>?</w:t>
      </w:r>
      <w:r>
        <w:rPr>
          <w:rFonts w:ascii="Arial" w:hAnsi="Arial" w:cs="Arial"/>
        </w:rPr>
        <w:t xml:space="preserve"> The Health Foundation, accessed 15/01/24: </w:t>
      </w:r>
      <w:r>
        <w:rPr>
          <w:rFonts w:ascii="Arial" w:hAnsi="Arial" w:cs="Arial"/>
        </w:rPr>
        <w:t>https://www.health.org.uk/news-and-comment/charts-and-infographics/retaining-nhs-nurses-what-do-trends-in-staff-turnover-tell-us</w:t>
      </w:r>
    </w:p>
    <w:p w14:paraId="3F6896FE" w14:textId="2A8791D4">
      <w:pPr>
        <w:spacing w:after="0" w:line="360" w:lineRule="auto"/>
        <w:jc w:val="both"/>
        <w:rPr>
          <w:rFonts w:ascii="Arial" w:hAnsi="Arial" w:cs="Arial"/>
        </w:rPr>
      </w:pPr>
    </w:p>
    <w:p w14:paraId="53E4E430" w14:textId="2308EA39">
      <w:pPr>
        <w:spacing w:after="0" w:line="360" w:lineRule="auto"/>
        <w:jc w:val="both"/>
        <w:rPr>
          <w:rFonts w:ascii="Arial" w:hAnsi="Arial" w:cs="Arial"/>
        </w:rPr>
      </w:pPr>
      <w:r>
        <w:rPr>
          <w:rFonts w:ascii="Arial" w:hAnsi="Arial" w:cs="Arial"/>
        </w:rPr>
        <w:t xml:space="preserve">Stacey, G., Clifton, A., Hemingway, S. and Felton, A. (2017) </w:t>
      </w:r>
      <w:r>
        <w:rPr>
          <w:rFonts w:ascii="Arial" w:hAnsi="Arial" w:cs="Arial"/>
          <w:i/>
          <w:iCs/>
        </w:rPr>
        <w:t>Fundamentals of Mental Health Nursing,</w:t>
      </w:r>
      <w:r>
        <w:rPr>
          <w:rFonts w:ascii="Arial" w:hAnsi="Arial" w:cs="Arial"/>
        </w:rPr>
        <w:t xml:space="preserve"> London: Wiley</w:t>
      </w:r>
    </w:p>
    <w:p w14:paraId="60B947B9" w14:textId="77777777">
      <w:pPr>
        <w:spacing w:after="0" w:line="360" w:lineRule="auto"/>
        <w:jc w:val="both"/>
        <w:rPr>
          <w:rFonts w:ascii="Arial" w:hAnsi="Arial" w:cs="Arial"/>
        </w:rPr>
      </w:pPr>
    </w:p>
    <w:p w14:paraId="1AA332AF" w14:textId="4B01ACBE">
      <w:pPr>
        <w:spacing w:after="0" w:line="360" w:lineRule="auto"/>
        <w:jc w:val="both"/>
        <w:rPr>
          <w:rFonts w:ascii="Arial" w:hAnsi="Arial" w:cs="Arial"/>
        </w:rPr>
      </w:pPr>
      <w:r>
        <w:rPr>
          <w:rFonts w:ascii="Arial" w:hAnsi="Arial" w:cs="Arial"/>
        </w:rPr>
        <w:t xml:space="preserve">Walsh, P., Owen, P., Mustafa, N. and Beech, R. (2020) Learning and teaching approaches promoting resilience in student nurses: An integrated review of the literature, </w:t>
      </w:r>
      <w:r>
        <w:rPr>
          <w:rFonts w:ascii="Arial" w:hAnsi="Arial" w:cs="Arial"/>
          <w:i/>
          <w:iCs/>
        </w:rPr>
        <w:t>Nurse Education in Practice</w:t>
      </w:r>
      <w:r>
        <w:rPr>
          <w:rFonts w:ascii="Arial" w:hAnsi="Arial" w:cs="Arial"/>
        </w:rPr>
        <w:t xml:space="preserve">, 45 (1) doi: </w:t>
      </w:r>
      <w:r>
        <w:rPr>
          <w:rFonts w:ascii="Arial" w:hAnsi="Arial" w:cs="Arial"/>
        </w:rPr>
        <w:t>https://doi.org/10.1016/j.nepr.2020.102748</w:t>
      </w:r>
    </w:p>
    <w:p w14:paraId="77B72DFD" w14:textId="77777777">
      <w:pPr>
        <w:spacing w:after="0" w:line="360" w:lineRule="auto"/>
        <w:jc w:val="both"/>
        <w:rPr>
          <w:rFonts w:ascii="Arial" w:hAnsi="Arial" w:cs="Arial"/>
        </w:rPr>
      </w:pPr>
    </w:p>
    <w:p w14:paraId="0DFF5E7C" w14:textId="4502DECC">
      <w:pPr>
        <w:spacing w:after="0" w:line="360" w:lineRule="auto"/>
        <w:jc w:val="both"/>
        <w:rPr>
          <w:rFonts w:ascii="Arial" w:hAnsi="Arial" w:cs="Arial"/>
        </w:rPr>
      </w:pPr>
      <w:r>
        <w:rPr>
          <w:rFonts w:ascii="Arial" w:hAnsi="Arial" w:cs="Arial"/>
        </w:rPr>
        <w:t xml:space="preserve">Williamson, G., Kane, A., Plowright, H., Bunce, J., Clarke, D. and Jamison, C. (2020) ‘Thinking like a nurse’. Changing the culture of nursing students′ clinical learning: Implementing collaborative learning in practice, </w:t>
      </w:r>
      <w:r>
        <w:rPr>
          <w:rFonts w:ascii="Arial" w:hAnsi="Arial" w:cs="Arial"/>
          <w:i/>
          <w:iCs/>
        </w:rPr>
        <w:t>Nurse Education in Practice</w:t>
      </w:r>
      <w:r>
        <w:rPr>
          <w:rFonts w:ascii="Arial" w:hAnsi="Arial" w:cs="Arial"/>
        </w:rPr>
        <w:t xml:space="preserve">, 43 (1) doi: </w:t>
      </w:r>
      <w:r>
        <w:rPr>
          <w:rFonts w:ascii="Arial" w:hAnsi="Arial" w:cs="Arial"/>
        </w:rPr>
        <w:t>https://doi.org/10.1016/j.nepr.2020.102742</w:t>
      </w:r>
    </w:p>
    <w:p w14:paraId="2CFE1912" w14:textId="77777777">
      <w:pPr>
        <w:spacing w:after="0" w:line="360" w:lineRule="auto"/>
        <w:jc w:val="both"/>
        <w:rPr>
          <w:rFonts w:ascii="Arial" w:hAnsi="Arial" w:cs="Arial"/>
        </w:rPr>
      </w:pPr>
    </w:p>
    <w:p w14:paraId="66751A9A" w14:textId="0B6FFAC0">
      <w:pPr>
        <w:spacing w:after="0" w:line="360" w:lineRule="auto"/>
        <w:jc w:val="both"/>
        <w:rPr>
          <w:rFonts w:ascii="Arial" w:hAnsi="Arial" w:cs="Arial"/>
        </w:rPr>
      </w:pPr>
      <w:r>
        <w:rPr>
          <w:rFonts w:ascii="Arial" w:hAnsi="Arial" w:cs="Arial"/>
        </w:rPr>
        <w:lastRenderedPageBreak/>
        <w:t xml:space="preserve">Wrycraft, N. (2015) </w:t>
      </w:r>
      <w:r>
        <w:rPr>
          <w:rFonts w:ascii="Arial" w:hAnsi="Arial" w:cs="Arial"/>
          <w:i/>
          <w:iCs/>
        </w:rPr>
        <w:t>Assessment and Care Planning in Mental Health Nursing,</w:t>
      </w:r>
      <w:r>
        <w:rPr>
          <w:rFonts w:ascii="Arial" w:hAnsi="Arial" w:cs="Arial"/>
        </w:rPr>
        <w:t xml:space="preserve"> Maidenhead: McGraw Hill Education</w:t>
      </w:r>
    </w:p>
    <w:p w14:paraId="4B5AAB2A" w14:textId="77777777">
      <w:pPr>
        <w:spacing w:after="0" w:line="360" w:lineRule="auto"/>
        <w:jc w:val="both"/>
        <w:rPr>
          <w:rFonts w:ascii="Arial" w:hAnsi="Arial" w:cs="Arial"/>
        </w:rPr>
      </w:pPr>
    </w:p>
    <w:p w14:paraId="77206E31" w14:textId="77777777">
      <w:pPr>
        <w:spacing w:after="0" w:line="360" w:lineRule="auto"/>
        <w:jc w:val="both"/>
        <w:rPr>
          <w:rFonts w:ascii="Arial" w:hAnsi="Arial" w:cs="Arial"/>
        </w:rPr>
      </w:pPr>
    </w:p>
    <w:p w14:paraId="0136193C" w14:textId="77777777">
      <w:pPr>
        <w:spacing w:after="0" w:line="360" w:lineRule="auto"/>
        <w:jc w:val="both"/>
        <w:rPr>
          <w:rFonts w:ascii="Arial" w:hAnsi="Arial" w:cs="Arial"/>
        </w:rPr>
      </w:pPr>
    </w:p>
    <w:p w14:paraId="37860213" w14:textId="77777777">
      <w:pPr>
        <w:spacing w:after="0" w:line="360" w:lineRule="auto"/>
        <w:jc w:val="both"/>
        <w:rPr>
          <w:rFonts w:ascii="Arial" w:hAnsi="Arial" w:cs="Arial"/>
        </w:rPr>
      </w:pPr>
    </w:p>
    <w:p w14:paraId="490A8175" w14:textId="77777777">
      <w:pPr>
        <w:spacing w:after="0" w:line="360" w:lineRule="auto"/>
        <w:jc w:val="both"/>
        <w:rPr>
          <w:rFonts w:ascii="Arial" w:hAnsi="Arial" w:cs="Arial"/>
        </w:rPr>
      </w:pPr>
    </w:p>
    <w:p w14:paraId="50686D6F" w14:textId="77777777">
      <w:pPr>
        <w:spacing w:after="0" w:line="360" w:lineRule="auto"/>
        <w:jc w:val="both"/>
        <w:rPr>
          <w:rFonts w:ascii="Arial" w:hAnsi="Arial" w:cs="Arial"/>
        </w:rPr>
      </w:pPr>
    </w:p>
    <w:p w14:paraId="6456EA87" w14:textId="77777777">
      <w:pPr>
        <w:spacing w:after="0" w:line="360" w:lineRule="auto"/>
        <w:jc w:val="both"/>
        <w:rPr>
          <w:rFonts w:ascii="Arial" w:hAnsi="Arial" w:cs="Arial"/>
        </w:rPr>
      </w:pPr>
    </w:p>
    <w:p w14:paraId="6D3273D5" w14:textId="77777777">
      <w:pPr>
        <w:spacing w:after="0" w:line="360" w:lineRule="auto"/>
        <w:jc w:val="both"/>
        <w:rPr>
          <w:rFonts w:ascii="Arial" w:hAnsi="Arial" w:cs="Arial"/>
        </w:rPr>
      </w:pPr>
    </w:p>
    <w:p w14:paraId="6D1658AB" w14:textId="77777777">
      <w:pPr>
        <w:spacing w:after="0" w:line="360" w:lineRule="auto"/>
        <w:jc w:val="both"/>
        <w:rPr>
          <w:rFonts w:ascii="Arial" w:hAnsi="Arial" w:cs="Arial"/>
        </w:rPr>
      </w:pPr>
    </w:p>
    <w:p w14:paraId="7E5F3CC2" w14:textId="77777777">
      <w:pPr>
        <w:spacing w:after="0" w:line="360" w:lineRule="auto"/>
        <w:jc w:val="both"/>
        <w:rPr>
          <w:rFonts w:ascii="Arial" w:hAnsi="Arial" w:cs="Arial"/>
        </w:rPr>
      </w:pPr>
    </w:p>
    <w:p w14:paraId="059A9A9D" w14:textId="77777777">
      <w:pPr>
        <w:spacing w:after="0" w:line="360" w:lineRule="auto"/>
        <w:jc w:val="both"/>
        <w:rPr>
          <w:rFonts w:ascii="Arial" w:hAnsi="Arial" w:cs="Arial"/>
        </w:rPr>
      </w:pPr>
    </w:p>
    <w:p w14:paraId="464E2288" w14:textId="77777777">
      <w:pPr>
        <w:spacing w:after="0" w:line="360" w:lineRule="auto"/>
        <w:jc w:val="both"/>
        <w:rPr>
          <w:rFonts w:ascii="Arial" w:hAnsi="Arial" w:cs="Arial"/>
        </w:rPr>
      </w:pPr>
    </w:p>
    <w:p w14:paraId="2554C3F3" w14:textId="77777777">
      <w:pPr>
        <w:spacing w:after="0" w:line="360" w:lineRule="auto"/>
        <w:jc w:val="both"/>
        <w:rPr>
          <w:rFonts w:ascii="Arial" w:hAnsi="Arial" w:cs="Arial"/>
        </w:rPr>
      </w:pPr>
    </w:p>
    <w:p w14:paraId="289C6D39" w14:textId="77777777">
      <w:pPr>
        <w:spacing w:after="0" w:line="360" w:lineRule="auto"/>
        <w:jc w:val="both"/>
        <w:rPr>
          <w:rFonts w:ascii="Arial" w:hAnsi="Arial" w:cs="Arial"/>
        </w:rPr>
      </w:pPr>
    </w:p>
    <w:p w14:paraId="50829B9C" w14:textId="77777777">
      <w:pPr>
        <w:spacing w:after="0" w:line="360" w:lineRule="auto"/>
        <w:jc w:val="both"/>
        <w:rPr>
          <w:rFonts w:ascii="Arial" w:hAnsi="Arial" w:cs="Arial"/>
        </w:rPr>
      </w:pPr>
    </w:p>
    <w:p w14:paraId="2016D5CF" w14:textId="77777777">
      <w:pPr>
        <w:spacing w:after="0" w:line="360" w:lineRule="auto"/>
        <w:jc w:val="both"/>
        <w:rPr>
          <w:rFonts w:ascii="Arial" w:hAnsi="Arial" w:cs="Arial"/>
        </w:rPr>
      </w:pPr>
    </w:p>
    <w:p w14:paraId="6F393702" w14:textId="77777777">
      <w:pPr>
        <w:spacing w:after="0" w:line="360" w:lineRule="auto"/>
        <w:jc w:val="both"/>
        <w:rPr>
          <w:rFonts w:ascii="Arial" w:hAnsi="Arial" w:cs="Arial"/>
        </w:rPr>
      </w:pPr>
    </w:p>
    <w:p w14:paraId="02306EA9" w14:textId="77777777">
      <w:pPr>
        <w:spacing w:after="0" w:line="360" w:lineRule="auto"/>
        <w:jc w:val="both"/>
        <w:rPr>
          <w:rFonts w:ascii="Arial" w:hAnsi="Arial" w:cs="Arial"/>
        </w:rPr>
      </w:pPr>
    </w:p>
    <w:p w14:paraId="251996F9" w14:textId="77777777">
      <w:pPr>
        <w:spacing w:after="0" w:line="360" w:lineRule="auto"/>
        <w:jc w:val="both"/>
        <w:rPr>
          <w:rFonts w:ascii="Arial" w:hAnsi="Arial" w:cs="Arial"/>
        </w:rPr>
      </w:pPr>
    </w:p>
    <w:p w14:paraId="5B782354" w14:textId="77777777">
      <w:pPr>
        <w:spacing w:after="0" w:line="360" w:lineRule="auto"/>
        <w:jc w:val="both"/>
        <w:rPr>
          <w:rFonts w:ascii="Arial" w:hAnsi="Arial" w:cs="Arial"/>
        </w:rPr>
      </w:pPr>
    </w:p>
    <w:p w14:paraId="5EC00A93" w14:textId="77777777">
      <w:pPr>
        <w:spacing w:after="0" w:line="360" w:lineRule="auto"/>
        <w:jc w:val="both"/>
        <w:rPr>
          <w:rFonts w:ascii="Arial" w:hAnsi="Arial" w:cs="Arial"/>
        </w:rPr>
      </w:pPr>
    </w:p>
    <w:p w14:paraId="4B22DBB7" w14:textId="77777777">
      <w:pPr>
        <w:spacing w:after="0" w:line="360" w:lineRule="auto"/>
        <w:jc w:val="both"/>
        <w:rPr>
          <w:rFonts w:ascii="Arial" w:hAnsi="Arial" w:cs="Arial"/>
        </w:rPr>
      </w:pPr>
    </w:p>
    <w:p w14:paraId="119EA2CD" w14:textId="77777777">
      <w:pPr>
        <w:spacing w:after="0" w:line="360" w:lineRule="auto"/>
        <w:jc w:val="both"/>
        <w:rPr>
          <w:rFonts w:ascii="Arial" w:hAnsi="Arial" w:cs="Arial"/>
        </w:rPr>
      </w:pPr>
    </w:p>
    <w:p w14:paraId="7B631980" w14:textId="77777777">
      <w:pPr>
        <w:spacing w:after="0" w:line="360" w:lineRule="auto"/>
        <w:jc w:val="both"/>
        <w:rPr>
          <w:rFonts w:ascii="Arial" w:hAnsi="Arial" w:cs="Arial"/>
        </w:rPr>
      </w:pPr>
    </w:p>
    <w:p w14:paraId="6ABCE711" w14:textId="77777777">
      <w:pPr>
        <w:spacing w:after="0" w:line="360" w:lineRule="auto"/>
        <w:jc w:val="both"/>
        <w:rPr>
          <w:rFonts w:ascii="Arial" w:hAnsi="Arial" w:cs="Arial"/>
        </w:rPr>
      </w:pPr>
    </w:p>
    <w:p w14:paraId="5C34B81B" w14:textId="77777777">
      <w:pPr>
        <w:spacing w:after="0" w:line="360" w:lineRule="auto"/>
        <w:jc w:val="both"/>
        <w:rPr>
          <w:rFonts w:ascii="Arial" w:hAnsi="Arial" w:cs="Arial"/>
        </w:rPr>
      </w:pPr>
    </w:p>
    <w:p w14:paraId="1034E4EC" w14:textId="77777777">
      <w:pPr>
        <w:spacing w:after="0" w:line="360" w:lineRule="auto"/>
        <w:jc w:val="both"/>
        <w:rPr>
          <w:rFonts w:ascii="Arial" w:hAnsi="Arial" w:cs="Arial"/>
        </w:rPr>
      </w:pPr>
    </w:p>
    <w:p w14:paraId="006A949A" w14:textId="77777777">
      <w:pPr>
        <w:spacing w:after="0" w:line="360" w:lineRule="auto"/>
        <w:jc w:val="both"/>
        <w:rPr>
          <w:rFonts w:ascii="Arial" w:hAnsi="Arial" w:cs="Arial"/>
        </w:rPr>
      </w:pPr>
    </w:p>
    <w:p w14:paraId="3719AE94" w14:textId="77777777">
      <w:pPr>
        <w:spacing w:after="0" w:line="360" w:lineRule="auto"/>
        <w:jc w:val="both"/>
        <w:rPr>
          <w:rFonts w:ascii="Arial" w:hAnsi="Arial" w:cs="Arial"/>
        </w:rPr>
      </w:pPr>
    </w:p>
    <w:p w14:paraId="33EA8C11" w14:textId="77777777">
      <w:pPr>
        <w:spacing w:after="0" w:line="360" w:lineRule="auto"/>
        <w:jc w:val="both"/>
        <w:rPr>
          <w:rFonts w:ascii="Arial" w:hAnsi="Arial" w:cs="Arial"/>
        </w:rPr>
      </w:pPr>
    </w:p>
    <w:p w14:paraId="18F16944" w14:textId="77777777">
      <w:pPr>
        <w:spacing w:after="0" w:line="360" w:lineRule="auto"/>
        <w:jc w:val="both"/>
        <w:rPr>
          <w:rFonts w:ascii="Arial" w:hAnsi="Arial" w:cs="Arial"/>
        </w:rPr>
      </w:pPr>
    </w:p>
    <w:p w14:paraId="1C13118A" w14:textId="77777777">
      <w:pPr>
        <w:spacing w:after="0" w:line="360" w:lineRule="auto"/>
        <w:jc w:val="both"/>
        <w:rPr>
          <w:rFonts w:ascii="Arial" w:hAnsi="Arial" w:cs="Arial"/>
        </w:rPr>
      </w:pPr>
    </w:p>
    <w:p w14:paraId="7F4CB05B" w14:textId="333C055B">
      <w:pPr>
        <w:spacing w:after="0" w:line="360" w:lineRule="auto"/>
        <w:jc w:val="both"/>
        <w:rPr>
          <w:rFonts w:ascii="Arial" w:hAnsi="Arial" w:cs="Arial"/>
          <w:b/>
          <w:bCs/>
        </w:rPr>
      </w:pPr>
      <w:r>
        <w:rPr>
          <w:rFonts w:ascii="Arial" w:hAnsi="Arial" w:cs="Arial"/>
          <w:b/>
          <w:bCs/>
        </w:rPr>
        <w:lastRenderedPageBreak/>
        <w:t>Appendix 1: SWOT Analysis</w:t>
      </w:r>
    </w:p>
    <w:p w14:paraId="3379DB2A" w14:textId="77777777">
      <w:pPr>
        <w:spacing w:after="0" w:line="360" w:lineRule="auto"/>
        <w:jc w:val="both"/>
        <w:rPr>
          <w:rFonts w:ascii="Arial" w:hAnsi="Arial" w:cs="Arial"/>
        </w:rPr>
      </w:pPr>
    </w:p>
    <w:tbl>
      <w:tblPr>
        <w:tblStyle w:val="TableGrid"/>
        <w:tblW w:w="0" w:type="auto"/>
        <w:tblLook w:val="04A0" w:firstRow="1" w:lastRow="0" w:firstColumn="1" w:lastColumn="0" w:noHBand="0" w:noVBand="1"/>
      </w:tblPr>
      <w:tblGrid>
        <w:gridCol w:w="4508"/>
        <w:gridCol w:w="4508"/>
      </w:tblGrid>
      <w:tr w14:paraId="113B4C82" w14:textId="77777777">
        <w:tc>
          <w:tcPr>
            <w:tcW w:w="4508" w:type="dxa"/>
          </w:tcPr>
          <w:p w14:paraId="64D997FF" w14:textId="77777777">
            <w:pPr>
              <w:spacing w:line="360" w:lineRule="auto"/>
              <w:jc w:val="both"/>
              <w:rPr>
                <w:rFonts w:ascii="Arial" w:hAnsi="Arial" w:cs="Arial"/>
                <w:b/>
                <w:bCs/>
                <w:sz w:val="24"/>
                <w:szCs w:val="24"/>
              </w:rPr>
            </w:pPr>
            <w:r>
              <w:rPr>
                <w:rFonts w:ascii="Arial" w:hAnsi="Arial" w:cs="Arial"/>
                <w:b/>
                <w:bCs/>
                <w:sz w:val="24"/>
                <w:szCs w:val="24"/>
              </w:rPr>
              <w:t>STRENGTHS</w:t>
            </w:r>
          </w:p>
        </w:tc>
        <w:tc>
          <w:tcPr>
            <w:tcW w:w="4508" w:type="dxa"/>
          </w:tcPr>
          <w:p w14:paraId="0AA90541" w14:textId="77777777">
            <w:pPr>
              <w:spacing w:line="360" w:lineRule="auto"/>
              <w:jc w:val="both"/>
              <w:rPr>
                <w:rFonts w:ascii="Arial" w:hAnsi="Arial" w:cs="Arial"/>
                <w:b/>
                <w:bCs/>
                <w:sz w:val="24"/>
                <w:szCs w:val="24"/>
              </w:rPr>
            </w:pPr>
            <w:r>
              <w:rPr>
                <w:rFonts w:ascii="Arial" w:hAnsi="Arial" w:cs="Arial"/>
                <w:b/>
                <w:bCs/>
                <w:sz w:val="24"/>
                <w:szCs w:val="24"/>
              </w:rPr>
              <w:t>WEAKNESSES</w:t>
            </w:r>
          </w:p>
        </w:tc>
      </w:tr>
      <w:tr w14:paraId="40EC9832" w14:textId="77777777">
        <w:tc>
          <w:tcPr>
            <w:tcW w:w="4508" w:type="dxa"/>
          </w:tcPr>
          <w:p w14:paraId="2AF2CC0D" w14:textId="77777777">
            <w:pPr>
              <w:spacing w:line="360" w:lineRule="auto"/>
              <w:jc w:val="both"/>
              <w:rPr>
                <w:rFonts w:ascii="Arial" w:hAnsi="Arial" w:cs="Arial"/>
                <w:sz w:val="24"/>
                <w:szCs w:val="24"/>
              </w:rPr>
            </w:pPr>
          </w:p>
          <w:p w14:paraId="67E95C4A" w14:textId="69B50F40">
            <w:pPr>
              <w:spacing w:line="360" w:lineRule="auto"/>
              <w:jc w:val="both"/>
              <w:rPr>
                <w:rFonts w:ascii="Arial" w:hAnsi="Arial" w:cs="Arial"/>
                <w:sz w:val="24"/>
                <w:szCs w:val="24"/>
              </w:rPr>
            </w:pPr>
            <w:r>
              <w:rPr>
                <w:rFonts w:ascii="Arial" w:hAnsi="Arial" w:cs="Arial"/>
                <w:sz w:val="24"/>
                <w:szCs w:val="24"/>
              </w:rPr>
              <w:t xml:space="preserve">The clinical </w:t>
            </w:r>
            <w:r>
              <w:rPr>
                <w:rFonts w:ascii="Arial" w:hAnsi="Arial" w:cs="Arial"/>
                <w:sz w:val="24"/>
                <w:szCs w:val="24"/>
              </w:rPr>
              <w:t xml:space="preserve">placement </w:t>
            </w:r>
            <w:r>
              <w:rPr>
                <w:rFonts w:ascii="Arial" w:hAnsi="Arial" w:cs="Arial"/>
                <w:sz w:val="24"/>
                <w:szCs w:val="24"/>
              </w:rPr>
              <w:t>presents</w:t>
            </w:r>
            <w:r>
              <w:rPr>
                <w:rFonts w:ascii="Arial" w:hAnsi="Arial" w:cs="Arial"/>
                <w:sz w:val="24"/>
                <w:szCs w:val="24"/>
              </w:rPr>
              <w:t xml:space="preserve"> a strong learning experience for student nurses and </w:t>
            </w:r>
            <w:r>
              <w:rPr>
                <w:rFonts w:ascii="Arial" w:hAnsi="Arial" w:cs="Arial"/>
                <w:sz w:val="24"/>
                <w:szCs w:val="24"/>
              </w:rPr>
              <w:t>chances to put learning into practice</w:t>
            </w:r>
            <w:r>
              <w:rPr>
                <w:rFonts w:ascii="Arial" w:hAnsi="Arial" w:cs="Arial"/>
                <w:sz w:val="24"/>
                <w:szCs w:val="24"/>
              </w:rPr>
              <w:t>, given that there are well trained nurses to learn from</w:t>
            </w:r>
            <w:r>
              <w:rPr>
                <w:rFonts w:ascii="Arial" w:hAnsi="Arial" w:cs="Arial"/>
                <w:sz w:val="24"/>
                <w:szCs w:val="24"/>
              </w:rPr>
              <w:t xml:space="preserve">. </w:t>
            </w:r>
          </w:p>
          <w:p w14:paraId="5948B175" w14:textId="77777777">
            <w:pPr>
              <w:spacing w:line="360" w:lineRule="auto"/>
              <w:jc w:val="both"/>
              <w:rPr>
                <w:rFonts w:ascii="Arial" w:hAnsi="Arial" w:cs="Arial"/>
                <w:sz w:val="24"/>
                <w:szCs w:val="24"/>
              </w:rPr>
            </w:pPr>
          </w:p>
          <w:p w14:paraId="4FEA810A" w14:textId="69435082">
            <w:pPr>
              <w:spacing w:line="360" w:lineRule="auto"/>
              <w:jc w:val="both"/>
              <w:rPr>
                <w:rFonts w:ascii="Arial" w:hAnsi="Arial" w:cs="Arial"/>
                <w:sz w:val="24"/>
                <w:szCs w:val="24"/>
              </w:rPr>
            </w:pPr>
            <w:r>
              <w:rPr>
                <w:rFonts w:ascii="Arial" w:hAnsi="Arial" w:cs="Arial"/>
                <w:sz w:val="24"/>
                <w:szCs w:val="24"/>
              </w:rPr>
              <w:t xml:space="preserve">Nurses can learn in a variety of different ways, since all four learning styles may be supported in a placement environment. </w:t>
            </w:r>
          </w:p>
          <w:p w14:paraId="21BF94A9" w14:textId="77777777">
            <w:pPr>
              <w:spacing w:line="360" w:lineRule="auto"/>
              <w:jc w:val="both"/>
              <w:rPr>
                <w:rFonts w:ascii="Arial" w:hAnsi="Arial" w:cs="Arial"/>
                <w:sz w:val="24"/>
                <w:szCs w:val="24"/>
              </w:rPr>
            </w:pPr>
          </w:p>
          <w:p w14:paraId="30E7D946" w14:textId="48587E2D">
            <w:pPr>
              <w:spacing w:line="360" w:lineRule="auto"/>
              <w:jc w:val="both"/>
              <w:rPr>
                <w:rFonts w:ascii="Arial" w:hAnsi="Arial" w:cs="Arial"/>
                <w:sz w:val="24"/>
                <w:szCs w:val="24"/>
              </w:rPr>
            </w:pPr>
            <w:r>
              <w:rPr>
                <w:rFonts w:ascii="Arial" w:hAnsi="Arial" w:cs="Arial"/>
                <w:sz w:val="24"/>
                <w:szCs w:val="24"/>
              </w:rPr>
              <w:t xml:space="preserve">Student nurses can observe practice and </w:t>
            </w:r>
            <w:r>
              <w:rPr>
                <w:rFonts w:ascii="Arial" w:hAnsi="Arial" w:cs="Arial"/>
                <w:sz w:val="24"/>
                <w:szCs w:val="24"/>
              </w:rPr>
              <w:t>benefit from putting theory into practice in a clinical placement environment.</w:t>
            </w:r>
          </w:p>
          <w:p w14:paraId="49870E72" w14:textId="77777777">
            <w:pPr>
              <w:spacing w:line="360" w:lineRule="auto"/>
              <w:jc w:val="both"/>
              <w:rPr>
                <w:rFonts w:ascii="Arial" w:hAnsi="Arial" w:cs="Arial"/>
                <w:sz w:val="24"/>
                <w:szCs w:val="24"/>
              </w:rPr>
            </w:pPr>
          </w:p>
          <w:p w14:paraId="5D421835" w14:textId="77777777">
            <w:pPr>
              <w:spacing w:line="360" w:lineRule="auto"/>
              <w:jc w:val="both"/>
              <w:rPr>
                <w:rFonts w:ascii="Arial" w:hAnsi="Arial" w:cs="Arial"/>
                <w:sz w:val="24"/>
                <w:szCs w:val="24"/>
              </w:rPr>
            </w:pPr>
          </w:p>
          <w:p w14:paraId="4BA79F91" w14:textId="77777777">
            <w:pPr>
              <w:spacing w:line="360" w:lineRule="auto"/>
              <w:jc w:val="both"/>
              <w:rPr>
                <w:rFonts w:ascii="Arial" w:hAnsi="Arial" w:cs="Arial"/>
                <w:sz w:val="24"/>
                <w:szCs w:val="24"/>
              </w:rPr>
            </w:pPr>
          </w:p>
          <w:p w14:paraId="78A1503E" w14:textId="77777777">
            <w:pPr>
              <w:spacing w:line="360" w:lineRule="auto"/>
              <w:jc w:val="both"/>
              <w:rPr>
                <w:rFonts w:ascii="Arial" w:hAnsi="Arial" w:cs="Arial"/>
                <w:sz w:val="24"/>
                <w:szCs w:val="24"/>
              </w:rPr>
            </w:pPr>
          </w:p>
        </w:tc>
        <w:tc>
          <w:tcPr>
            <w:tcW w:w="4508" w:type="dxa"/>
          </w:tcPr>
          <w:p w14:paraId="03D25006" w14:textId="77777777">
            <w:pPr>
              <w:spacing w:line="360" w:lineRule="auto"/>
              <w:jc w:val="both"/>
              <w:rPr>
                <w:rFonts w:ascii="Arial" w:hAnsi="Arial" w:cs="Arial"/>
                <w:sz w:val="24"/>
                <w:szCs w:val="24"/>
              </w:rPr>
            </w:pPr>
          </w:p>
          <w:p w14:paraId="5170C599" w14:textId="77777777">
            <w:pPr>
              <w:spacing w:line="360" w:lineRule="auto"/>
              <w:jc w:val="both"/>
              <w:rPr>
                <w:rFonts w:ascii="Arial" w:hAnsi="Arial" w:cs="Arial"/>
                <w:sz w:val="24"/>
                <w:szCs w:val="24"/>
              </w:rPr>
            </w:pPr>
            <w:r>
              <w:rPr>
                <w:rFonts w:ascii="Arial" w:hAnsi="Arial" w:cs="Arial"/>
                <w:sz w:val="24"/>
                <w:szCs w:val="24"/>
              </w:rPr>
              <w:t xml:space="preserve">Defensive behaviour of nurses could lead to students not learning as much / as well as they otherwise might. </w:t>
            </w:r>
          </w:p>
          <w:p w14:paraId="773CDAE6" w14:textId="77777777">
            <w:pPr>
              <w:spacing w:line="360" w:lineRule="auto"/>
              <w:jc w:val="both"/>
              <w:rPr>
                <w:rFonts w:ascii="Arial" w:hAnsi="Arial" w:cs="Arial"/>
                <w:sz w:val="24"/>
                <w:szCs w:val="24"/>
              </w:rPr>
            </w:pPr>
          </w:p>
          <w:p w14:paraId="5F90612B" w14:textId="28E946B5">
            <w:pPr>
              <w:spacing w:line="360" w:lineRule="auto"/>
              <w:jc w:val="both"/>
              <w:rPr>
                <w:rFonts w:ascii="Arial" w:hAnsi="Arial" w:cs="Arial"/>
                <w:sz w:val="24"/>
                <w:szCs w:val="24"/>
              </w:rPr>
            </w:pPr>
            <w:r>
              <w:rPr>
                <w:rFonts w:ascii="Arial" w:hAnsi="Arial" w:cs="Arial"/>
                <w:sz w:val="24"/>
                <w:szCs w:val="24"/>
              </w:rPr>
              <w:t>Where role modelling is not good</w:t>
            </w:r>
            <w:r>
              <w:rPr>
                <w:rFonts w:ascii="Arial" w:hAnsi="Arial" w:cs="Arial"/>
                <w:sz w:val="24"/>
                <w:szCs w:val="24"/>
              </w:rPr>
              <w:t>, perhaps due to organisational culture (in some cases) this can detriment the learning of student nurses.</w:t>
            </w:r>
          </w:p>
        </w:tc>
      </w:tr>
      <w:tr w14:paraId="1B43E07D" w14:textId="77777777">
        <w:tc>
          <w:tcPr>
            <w:tcW w:w="4508" w:type="dxa"/>
          </w:tcPr>
          <w:p w14:paraId="4F978D61" w14:textId="77777777">
            <w:pPr>
              <w:spacing w:line="360" w:lineRule="auto"/>
              <w:jc w:val="both"/>
              <w:rPr>
                <w:rFonts w:ascii="Arial" w:hAnsi="Arial" w:cs="Arial"/>
                <w:b/>
                <w:bCs/>
                <w:sz w:val="24"/>
                <w:szCs w:val="24"/>
              </w:rPr>
            </w:pPr>
            <w:r>
              <w:rPr>
                <w:rFonts w:ascii="Arial" w:hAnsi="Arial" w:cs="Arial"/>
                <w:b/>
                <w:bCs/>
                <w:sz w:val="24"/>
                <w:szCs w:val="24"/>
              </w:rPr>
              <w:t>OPPORTUNITITIES</w:t>
            </w:r>
          </w:p>
        </w:tc>
        <w:tc>
          <w:tcPr>
            <w:tcW w:w="4508" w:type="dxa"/>
          </w:tcPr>
          <w:p w14:paraId="0417AC91" w14:textId="77777777">
            <w:pPr>
              <w:spacing w:line="360" w:lineRule="auto"/>
              <w:jc w:val="both"/>
              <w:rPr>
                <w:rFonts w:ascii="Arial" w:hAnsi="Arial" w:cs="Arial"/>
                <w:b/>
                <w:bCs/>
                <w:sz w:val="24"/>
                <w:szCs w:val="24"/>
              </w:rPr>
            </w:pPr>
            <w:r>
              <w:rPr>
                <w:rFonts w:ascii="Arial" w:hAnsi="Arial" w:cs="Arial"/>
                <w:b/>
                <w:bCs/>
                <w:sz w:val="24"/>
                <w:szCs w:val="24"/>
              </w:rPr>
              <w:t>THREATS</w:t>
            </w:r>
          </w:p>
        </w:tc>
      </w:tr>
      <w:tr w14:paraId="53C74356" w14:textId="77777777">
        <w:trPr>
          <w:trHeight w:val="6076"/>
        </w:trPr>
        <w:tc>
          <w:tcPr>
            <w:tcW w:w="4508" w:type="dxa"/>
          </w:tcPr>
          <w:p w14:paraId="1607DC87" w14:textId="77777777">
            <w:pPr>
              <w:spacing w:line="360" w:lineRule="auto"/>
              <w:jc w:val="both"/>
              <w:rPr>
                <w:rFonts w:ascii="Arial" w:hAnsi="Arial" w:cs="Arial"/>
                <w:sz w:val="24"/>
                <w:szCs w:val="24"/>
              </w:rPr>
            </w:pPr>
          </w:p>
          <w:p w14:paraId="46A3D499" w14:textId="0032D380">
            <w:pPr>
              <w:spacing w:line="360" w:lineRule="auto"/>
              <w:jc w:val="both"/>
              <w:rPr>
                <w:rFonts w:ascii="Arial" w:hAnsi="Arial" w:cs="Arial"/>
                <w:sz w:val="24"/>
                <w:szCs w:val="24"/>
              </w:rPr>
            </w:pPr>
            <w:r>
              <w:rPr>
                <w:rFonts w:ascii="Arial" w:hAnsi="Arial" w:cs="Arial"/>
                <w:sz w:val="24"/>
                <w:szCs w:val="24"/>
              </w:rPr>
              <w:t xml:space="preserve">The chance within clinical placements to </w:t>
            </w:r>
            <w:r>
              <w:rPr>
                <w:rFonts w:ascii="Arial" w:hAnsi="Arial" w:cs="Arial"/>
                <w:sz w:val="24"/>
                <w:szCs w:val="24"/>
              </w:rPr>
              <w:t xml:space="preserve">provide timely feedback </w:t>
            </w:r>
            <w:r>
              <w:rPr>
                <w:rFonts w:ascii="Arial" w:hAnsi="Arial" w:cs="Arial"/>
                <w:sz w:val="24"/>
                <w:szCs w:val="24"/>
              </w:rPr>
              <w:t xml:space="preserve">with examples, </w:t>
            </w:r>
            <w:r>
              <w:rPr>
                <w:rFonts w:ascii="Arial" w:hAnsi="Arial" w:cs="Arial"/>
                <w:sz w:val="24"/>
                <w:szCs w:val="24"/>
              </w:rPr>
              <w:t xml:space="preserve">in a constructive way to promote growth and development. </w:t>
            </w:r>
          </w:p>
          <w:p w14:paraId="1D9E7EEC" w14:textId="77777777">
            <w:pPr>
              <w:spacing w:line="360" w:lineRule="auto"/>
              <w:jc w:val="both"/>
              <w:rPr>
                <w:rFonts w:ascii="Arial" w:hAnsi="Arial" w:cs="Arial"/>
                <w:sz w:val="24"/>
                <w:szCs w:val="24"/>
              </w:rPr>
            </w:pPr>
          </w:p>
          <w:p w14:paraId="6528FD0B" w14:textId="3C358698">
            <w:pPr>
              <w:spacing w:line="360" w:lineRule="auto"/>
              <w:jc w:val="both"/>
              <w:rPr>
                <w:rFonts w:ascii="Arial" w:hAnsi="Arial" w:cs="Arial"/>
                <w:sz w:val="24"/>
                <w:szCs w:val="24"/>
              </w:rPr>
            </w:pPr>
            <w:r>
              <w:rPr>
                <w:rFonts w:ascii="Arial" w:hAnsi="Arial" w:cs="Arial"/>
                <w:sz w:val="24"/>
                <w:szCs w:val="24"/>
              </w:rPr>
              <w:t xml:space="preserve">The complexities of actual patients and their comorbidities provides a significant opportunity for </w:t>
            </w:r>
            <w:r>
              <w:rPr>
                <w:rFonts w:ascii="Arial" w:hAnsi="Arial" w:cs="Arial"/>
                <w:sz w:val="24"/>
                <w:szCs w:val="24"/>
              </w:rPr>
              <w:t>extending learning beyond simplistic situations and realities.</w:t>
            </w:r>
          </w:p>
          <w:p w14:paraId="7D49145B" w14:textId="77777777">
            <w:pPr>
              <w:spacing w:line="360" w:lineRule="auto"/>
              <w:jc w:val="both"/>
              <w:rPr>
                <w:rFonts w:ascii="Arial" w:hAnsi="Arial" w:cs="Arial"/>
                <w:sz w:val="24"/>
                <w:szCs w:val="24"/>
              </w:rPr>
            </w:pPr>
          </w:p>
          <w:p w14:paraId="66D31F82" w14:textId="2E17BC8E">
            <w:pPr>
              <w:spacing w:line="360" w:lineRule="auto"/>
              <w:jc w:val="both"/>
              <w:rPr>
                <w:rFonts w:ascii="Arial" w:hAnsi="Arial" w:cs="Arial"/>
                <w:sz w:val="24"/>
                <w:szCs w:val="24"/>
              </w:rPr>
            </w:pPr>
            <w:r>
              <w:rPr>
                <w:rFonts w:ascii="Arial" w:hAnsi="Arial" w:cs="Arial"/>
                <w:sz w:val="24"/>
                <w:szCs w:val="24"/>
              </w:rPr>
              <w:t xml:space="preserve">The opportunity to learn from good role models in effective mental health nurses. </w:t>
            </w:r>
          </w:p>
          <w:p w14:paraId="1467E383" w14:textId="77777777">
            <w:pPr>
              <w:spacing w:line="360" w:lineRule="auto"/>
              <w:jc w:val="both"/>
              <w:rPr>
                <w:rFonts w:ascii="Arial" w:hAnsi="Arial" w:cs="Arial"/>
                <w:sz w:val="24"/>
                <w:szCs w:val="24"/>
              </w:rPr>
            </w:pPr>
          </w:p>
          <w:p w14:paraId="4C6CA507" w14:textId="5800C61C">
            <w:pPr>
              <w:spacing w:line="360" w:lineRule="auto"/>
              <w:jc w:val="both"/>
              <w:rPr>
                <w:rFonts w:ascii="Arial" w:hAnsi="Arial" w:cs="Arial"/>
                <w:sz w:val="24"/>
                <w:szCs w:val="24"/>
              </w:rPr>
            </w:pPr>
            <w:r>
              <w:rPr>
                <w:rFonts w:ascii="Arial" w:hAnsi="Arial" w:cs="Arial"/>
                <w:sz w:val="24"/>
                <w:szCs w:val="24"/>
              </w:rPr>
              <w:t>The chance to benefit from peer feedback on placement.</w:t>
            </w:r>
          </w:p>
          <w:p w14:paraId="7F03DF79" w14:textId="77777777">
            <w:pPr>
              <w:spacing w:line="360" w:lineRule="auto"/>
              <w:jc w:val="both"/>
              <w:rPr>
                <w:rFonts w:ascii="Arial" w:hAnsi="Arial" w:cs="Arial"/>
                <w:sz w:val="24"/>
                <w:szCs w:val="24"/>
              </w:rPr>
            </w:pPr>
          </w:p>
          <w:p w14:paraId="52A10E4E" w14:textId="77777777">
            <w:pPr>
              <w:spacing w:line="360" w:lineRule="auto"/>
              <w:jc w:val="both"/>
              <w:rPr>
                <w:rFonts w:ascii="Arial" w:hAnsi="Arial" w:cs="Arial"/>
                <w:sz w:val="24"/>
                <w:szCs w:val="24"/>
              </w:rPr>
            </w:pPr>
          </w:p>
          <w:p w14:paraId="07AEAF2A" w14:textId="77777777">
            <w:pPr>
              <w:spacing w:line="360" w:lineRule="auto"/>
              <w:jc w:val="both"/>
              <w:rPr>
                <w:rFonts w:ascii="Arial" w:hAnsi="Arial" w:cs="Arial"/>
                <w:sz w:val="24"/>
                <w:szCs w:val="24"/>
              </w:rPr>
            </w:pPr>
          </w:p>
        </w:tc>
        <w:tc>
          <w:tcPr>
            <w:tcW w:w="4508" w:type="dxa"/>
          </w:tcPr>
          <w:p w14:paraId="7B4C18C5" w14:textId="77777777">
            <w:pPr>
              <w:spacing w:line="360" w:lineRule="auto"/>
              <w:jc w:val="both"/>
              <w:rPr>
                <w:rFonts w:ascii="Arial" w:hAnsi="Arial" w:cs="Arial"/>
                <w:sz w:val="24"/>
                <w:szCs w:val="24"/>
              </w:rPr>
            </w:pPr>
          </w:p>
          <w:p w14:paraId="36B99B1C" w14:textId="77777777">
            <w:pPr>
              <w:spacing w:line="360" w:lineRule="auto"/>
              <w:jc w:val="both"/>
              <w:rPr>
                <w:rFonts w:ascii="Arial" w:hAnsi="Arial" w:cs="Arial"/>
                <w:sz w:val="24"/>
                <w:szCs w:val="24"/>
              </w:rPr>
            </w:pPr>
            <w:r>
              <w:rPr>
                <w:rFonts w:ascii="Arial" w:hAnsi="Arial" w:cs="Arial"/>
                <w:sz w:val="24"/>
                <w:szCs w:val="24"/>
              </w:rPr>
              <w:t xml:space="preserve">Staff shortages </w:t>
            </w:r>
            <w:r>
              <w:rPr>
                <w:rFonts w:ascii="Arial" w:hAnsi="Arial" w:cs="Arial"/>
                <w:sz w:val="24"/>
                <w:szCs w:val="24"/>
              </w:rPr>
              <w:t xml:space="preserve">among nurses can make it difficult to find the time for nurses to spend with student nurses to train them. </w:t>
            </w:r>
          </w:p>
          <w:p w14:paraId="1A4A899F" w14:textId="77777777">
            <w:pPr>
              <w:spacing w:line="360" w:lineRule="auto"/>
              <w:jc w:val="both"/>
              <w:rPr>
                <w:rFonts w:ascii="Arial" w:hAnsi="Arial" w:cs="Arial"/>
                <w:sz w:val="24"/>
                <w:szCs w:val="24"/>
              </w:rPr>
            </w:pPr>
          </w:p>
          <w:p w14:paraId="53829627" w14:textId="414D89C9">
            <w:pPr>
              <w:spacing w:line="360" w:lineRule="auto"/>
              <w:jc w:val="both"/>
              <w:rPr>
                <w:rFonts w:ascii="Arial" w:hAnsi="Arial" w:cs="Arial"/>
                <w:sz w:val="24"/>
                <w:szCs w:val="24"/>
              </w:rPr>
            </w:pPr>
            <w:r>
              <w:rPr>
                <w:rFonts w:ascii="Arial" w:hAnsi="Arial" w:cs="Arial"/>
                <w:sz w:val="24"/>
                <w:szCs w:val="24"/>
              </w:rPr>
              <w:t xml:space="preserve">If the organisational culture is more focused on metrics than learning, then this can potentially threaten an effective learning experience for student nurses. </w:t>
            </w:r>
          </w:p>
        </w:tc>
      </w:tr>
    </w:tbl>
    <w:p w14:paraId="1E6F2D09" w14:textId="77777777">
      <w:pPr>
        <w:spacing w:after="0" w:line="360" w:lineRule="auto"/>
        <w:jc w:val="both"/>
        <w:rPr>
          <w:rFonts w:ascii="Arial" w:hAnsi="Arial" w:cs="Arial"/>
        </w:rPr>
      </w:pPr>
    </w:p>
    <w:p w14:paraId="03D59320" w14:textId="77777777">
      <w:pPr>
        <w:spacing w:after="0" w:line="360" w:lineRule="auto"/>
        <w:jc w:val="both"/>
        <w:rPr>
          <w:rFonts w:ascii="Arial" w:hAnsi="Arial" w:cs="Arial"/>
        </w:rPr>
      </w:pPr>
    </w:p>
    <w:p w14:paraId="4E704CB8" w14:textId="77777777">
      <w:pPr>
        <w:spacing w:after="0" w:line="360" w:lineRule="auto"/>
        <w:jc w:val="both"/>
        <w:rPr>
          <w:rFonts w:ascii="Arial" w:hAnsi="Arial" w:cs="Arial"/>
        </w:rPr>
      </w:pPr>
    </w:p>
    <w:p w14:paraId="5395170A" w14:textId="77777777">
      <w:pPr>
        <w:spacing w:after="0" w:line="360" w:lineRule="auto"/>
        <w:jc w:val="both"/>
        <w:rPr>
          <w:rFonts w:ascii="Arial" w:hAnsi="Arial" w:cs="Arial"/>
        </w:rPr>
        <w:sectPr>
          <w:footerReference w:type="default" r:id="rId6"/>
          <w:pgSz w:w="11906" w:h="16838"/>
          <w:pgMar w:top="1440" w:right="1440" w:bottom="1440" w:left="1440" w:header="708" w:footer="708" w:gutter="0"/>
          <w:cols w:space="708"/>
          <w:docGrid w:linePitch="360"/>
        </w:sectPr>
      </w:pPr>
    </w:p>
    <w:p w14:paraId="29E401BB" w14:textId="7114BE1B">
      <w:pPr>
        <w:spacing w:after="0" w:line="360" w:lineRule="auto"/>
        <w:jc w:val="both"/>
        <w:rPr>
          <w:rFonts w:ascii="Arial" w:hAnsi="Arial" w:cs="Arial"/>
          <w:b/>
          <w:bCs/>
        </w:rPr>
      </w:pPr>
      <w:r>
        <w:rPr>
          <w:rFonts w:ascii="Arial" w:hAnsi="Arial" w:cs="Arial"/>
          <w:b/>
          <w:bCs/>
        </w:rPr>
        <w:lastRenderedPageBreak/>
        <w:t>Appendix 2: SMART</w:t>
      </w:r>
    </w:p>
    <w:p w14:paraId="298B63EC" w14:textId="77777777">
      <w:pPr>
        <w:spacing w:after="0" w:line="360" w:lineRule="auto"/>
        <w:jc w:val="both"/>
        <w:rPr>
          <w:rFonts w:ascii="Arial" w:hAnsi="Arial" w:cs="Arial"/>
          <w:b/>
          <w:bCs/>
        </w:rPr>
      </w:pPr>
    </w:p>
    <w:p w14:paraId="2955FDD7" w14:textId="77777777">
      <w:pPr>
        <w:spacing w:after="0" w:line="360" w:lineRule="auto"/>
        <w:jc w:val="both"/>
        <w:rPr>
          <w:rFonts w:ascii="Arial" w:hAnsi="Arial" w:cs="Arial"/>
        </w:rPr>
      </w:pPr>
    </w:p>
    <w:p w14:paraId="62F7E272" w14:textId="77777777">
      <w:pPr>
        <w:spacing w:after="0" w:line="360" w:lineRule="auto"/>
        <w:jc w:val="both"/>
        <w:rPr>
          <w:rFonts w:ascii="Arial" w:hAnsi="Arial" w:cs="Arial"/>
        </w:rPr>
      </w:pPr>
    </w:p>
    <w:tbl>
      <w:tblPr>
        <w:tblStyle w:val="TableGrid"/>
        <w:tblW w:w="15451" w:type="dxa"/>
        <w:tblInd w:w="-714" w:type="dxa"/>
        <w:tblLook w:val="04A0" w:firstRow="1" w:lastRow="0" w:firstColumn="1" w:lastColumn="0" w:noHBand="0" w:noVBand="1"/>
      </w:tblPr>
      <w:tblGrid>
        <w:gridCol w:w="2694"/>
        <w:gridCol w:w="4111"/>
        <w:gridCol w:w="1701"/>
        <w:gridCol w:w="3969"/>
        <w:gridCol w:w="2976"/>
      </w:tblGrid>
      <w:tr w14:paraId="13F7CEEC" w14:textId="77777777">
        <w:tc>
          <w:tcPr>
            <w:tcW w:w="2694" w:type="dxa"/>
            <w:shd w:val="clear" w:color="auto" w:fill="A6A6A6" w:themeFill="background1" w:themeFillShade="A6"/>
          </w:tcPr>
          <w:p w14:paraId="5AB708E1" w14:textId="77777777">
            <w:pPr>
              <w:spacing w:line="360" w:lineRule="auto"/>
              <w:jc w:val="both"/>
              <w:rPr>
                <w:rFonts w:ascii="Arial" w:hAnsi="Arial" w:cs="Arial"/>
                <w:b/>
                <w:bCs/>
                <w:sz w:val="24"/>
                <w:szCs w:val="24"/>
              </w:rPr>
            </w:pPr>
            <w:r>
              <w:rPr>
                <w:rFonts w:ascii="Arial" w:hAnsi="Arial" w:cs="Arial"/>
                <w:b/>
                <w:bCs/>
                <w:sz w:val="24"/>
                <w:szCs w:val="24"/>
              </w:rPr>
              <w:t>Specific</w:t>
            </w:r>
          </w:p>
        </w:tc>
        <w:tc>
          <w:tcPr>
            <w:tcW w:w="4111" w:type="dxa"/>
            <w:shd w:val="clear" w:color="auto" w:fill="A6A6A6" w:themeFill="background1" w:themeFillShade="A6"/>
          </w:tcPr>
          <w:p w14:paraId="3ADC74EF" w14:textId="77777777">
            <w:pPr>
              <w:spacing w:line="360" w:lineRule="auto"/>
              <w:jc w:val="both"/>
              <w:rPr>
                <w:rFonts w:ascii="Arial" w:hAnsi="Arial" w:cs="Arial"/>
                <w:b/>
                <w:bCs/>
                <w:sz w:val="24"/>
                <w:szCs w:val="24"/>
              </w:rPr>
            </w:pPr>
            <w:r>
              <w:rPr>
                <w:rFonts w:ascii="Arial" w:hAnsi="Arial" w:cs="Arial"/>
                <w:b/>
                <w:bCs/>
                <w:sz w:val="24"/>
                <w:szCs w:val="24"/>
              </w:rPr>
              <w:t>Measurable and Achievable</w:t>
            </w:r>
          </w:p>
        </w:tc>
        <w:tc>
          <w:tcPr>
            <w:tcW w:w="5670" w:type="dxa"/>
            <w:gridSpan w:val="2"/>
            <w:shd w:val="clear" w:color="auto" w:fill="A6A6A6" w:themeFill="background1" w:themeFillShade="A6"/>
          </w:tcPr>
          <w:p w14:paraId="367EBC75" w14:textId="77777777">
            <w:pPr>
              <w:spacing w:line="360" w:lineRule="auto"/>
              <w:jc w:val="both"/>
              <w:rPr>
                <w:rFonts w:ascii="Arial" w:hAnsi="Arial" w:cs="Arial"/>
                <w:b/>
                <w:bCs/>
                <w:sz w:val="24"/>
                <w:szCs w:val="24"/>
              </w:rPr>
            </w:pPr>
            <w:r>
              <w:rPr>
                <w:rFonts w:ascii="Arial" w:hAnsi="Arial" w:cs="Arial"/>
                <w:b/>
                <w:bCs/>
                <w:sz w:val="24"/>
                <w:szCs w:val="24"/>
              </w:rPr>
              <w:t>Realistic</w:t>
            </w:r>
          </w:p>
        </w:tc>
        <w:tc>
          <w:tcPr>
            <w:tcW w:w="2976" w:type="dxa"/>
            <w:shd w:val="clear" w:color="auto" w:fill="A6A6A6" w:themeFill="background1" w:themeFillShade="A6"/>
          </w:tcPr>
          <w:p w14:paraId="3710A0DB" w14:textId="77777777">
            <w:pPr>
              <w:spacing w:line="360" w:lineRule="auto"/>
              <w:jc w:val="both"/>
              <w:rPr>
                <w:rFonts w:ascii="Arial" w:hAnsi="Arial" w:cs="Arial"/>
                <w:b/>
                <w:bCs/>
                <w:sz w:val="24"/>
                <w:szCs w:val="24"/>
              </w:rPr>
            </w:pPr>
            <w:r>
              <w:rPr>
                <w:rFonts w:ascii="Arial" w:hAnsi="Arial" w:cs="Arial"/>
                <w:b/>
                <w:bCs/>
                <w:sz w:val="24"/>
                <w:szCs w:val="24"/>
              </w:rPr>
              <w:t>Timely</w:t>
            </w:r>
          </w:p>
        </w:tc>
      </w:tr>
      <w:tr w14:paraId="6F5C765B" w14:textId="77777777">
        <w:tc>
          <w:tcPr>
            <w:tcW w:w="2694" w:type="dxa"/>
            <w:shd w:val="clear" w:color="auto" w:fill="D9D9D9" w:themeFill="background1" w:themeFillShade="D9"/>
          </w:tcPr>
          <w:p w14:paraId="24C9F3A6" w14:textId="77777777">
            <w:pPr>
              <w:spacing w:line="360" w:lineRule="auto"/>
              <w:jc w:val="both"/>
              <w:rPr>
                <w:rFonts w:ascii="Arial" w:hAnsi="Arial" w:cs="Arial"/>
                <w:b/>
                <w:bCs/>
                <w:sz w:val="24"/>
                <w:szCs w:val="24"/>
              </w:rPr>
            </w:pPr>
            <w:r>
              <w:rPr>
                <w:rFonts w:ascii="Arial" w:hAnsi="Arial" w:cs="Arial"/>
                <w:b/>
                <w:bCs/>
                <w:sz w:val="24"/>
                <w:szCs w:val="24"/>
              </w:rPr>
              <w:t>Objective</w:t>
            </w:r>
          </w:p>
        </w:tc>
        <w:tc>
          <w:tcPr>
            <w:tcW w:w="4111" w:type="dxa"/>
            <w:shd w:val="clear" w:color="auto" w:fill="D9D9D9" w:themeFill="background1" w:themeFillShade="D9"/>
          </w:tcPr>
          <w:p w14:paraId="7294FED1" w14:textId="77777777">
            <w:pPr>
              <w:spacing w:line="360" w:lineRule="auto"/>
              <w:jc w:val="both"/>
              <w:rPr>
                <w:rFonts w:ascii="Arial" w:hAnsi="Arial" w:cs="Arial"/>
                <w:b/>
                <w:bCs/>
                <w:sz w:val="24"/>
                <w:szCs w:val="24"/>
              </w:rPr>
            </w:pPr>
            <w:r>
              <w:rPr>
                <w:rFonts w:ascii="Arial" w:hAnsi="Arial" w:cs="Arial"/>
                <w:b/>
                <w:bCs/>
                <w:sz w:val="24"/>
                <w:szCs w:val="24"/>
              </w:rPr>
              <w:t>Actions</w:t>
            </w:r>
          </w:p>
        </w:tc>
        <w:tc>
          <w:tcPr>
            <w:tcW w:w="1701" w:type="dxa"/>
            <w:shd w:val="clear" w:color="auto" w:fill="D9D9D9" w:themeFill="background1" w:themeFillShade="D9"/>
          </w:tcPr>
          <w:p w14:paraId="59009E1F" w14:textId="77777777">
            <w:pPr>
              <w:spacing w:line="360" w:lineRule="auto"/>
              <w:jc w:val="both"/>
              <w:rPr>
                <w:rFonts w:ascii="Arial" w:hAnsi="Arial" w:cs="Arial"/>
                <w:b/>
                <w:bCs/>
                <w:sz w:val="24"/>
                <w:szCs w:val="24"/>
              </w:rPr>
            </w:pPr>
            <w:r>
              <w:rPr>
                <w:rFonts w:ascii="Arial" w:hAnsi="Arial" w:cs="Arial"/>
                <w:b/>
                <w:bCs/>
                <w:sz w:val="24"/>
                <w:szCs w:val="24"/>
              </w:rPr>
              <w:t>Team Member Responsible</w:t>
            </w:r>
          </w:p>
        </w:tc>
        <w:tc>
          <w:tcPr>
            <w:tcW w:w="3969" w:type="dxa"/>
            <w:shd w:val="clear" w:color="auto" w:fill="D9D9D9" w:themeFill="background1" w:themeFillShade="D9"/>
          </w:tcPr>
          <w:p w14:paraId="07BEF165" w14:textId="77777777">
            <w:pPr>
              <w:spacing w:line="360" w:lineRule="auto"/>
              <w:jc w:val="both"/>
              <w:rPr>
                <w:rFonts w:ascii="Arial" w:hAnsi="Arial" w:cs="Arial"/>
                <w:b/>
                <w:bCs/>
                <w:sz w:val="24"/>
                <w:szCs w:val="24"/>
              </w:rPr>
            </w:pPr>
            <w:r>
              <w:rPr>
                <w:rFonts w:ascii="Arial" w:hAnsi="Arial" w:cs="Arial"/>
                <w:b/>
                <w:bCs/>
                <w:sz w:val="24"/>
                <w:szCs w:val="24"/>
              </w:rPr>
              <w:t>Resources Required</w:t>
            </w:r>
          </w:p>
        </w:tc>
        <w:tc>
          <w:tcPr>
            <w:tcW w:w="2976" w:type="dxa"/>
            <w:shd w:val="clear" w:color="auto" w:fill="D9D9D9" w:themeFill="background1" w:themeFillShade="D9"/>
          </w:tcPr>
          <w:p w14:paraId="433F52E8" w14:textId="77777777">
            <w:pPr>
              <w:spacing w:line="360" w:lineRule="auto"/>
              <w:jc w:val="both"/>
              <w:rPr>
                <w:rFonts w:ascii="Arial" w:hAnsi="Arial" w:cs="Arial"/>
                <w:b/>
                <w:bCs/>
                <w:sz w:val="24"/>
                <w:szCs w:val="24"/>
              </w:rPr>
            </w:pPr>
            <w:r>
              <w:rPr>
                <w:rFonts w:ascii="Arial" w:hAnsi="Arial" w:cs="Arial"/>
                <w:b/>
                <w:bCs/>
                <w:sz w:val="24"/>
                <w:szCs w:val="24"/>
              </w:rPr>
              <w:t>Completion Date</w:t>
            </w:r>
          </w:p>
        </w:tc>
      </w:tr>
      <w:tr w14:paraId="1C49BEB4" w14:textId="77777777">
        <w:tc>
          <w:tcPr>
            <w:tcW w:w="2694" w:type="dxa"/>
          </w:tcPr>
          <w:p w14:paraId="3256C601" w14:textId="72F1AC69">
            <w:pPr>
              <w:spacing w:line="360" w:lineRule="auto"/>
              <w:jc w:val="both"/>
              <w:rPr>
                <w:rFonts w:ascii="Arial" w:hAnsi="Arial" w:cs="Arial"/>
                <w:sz w:val="24"/>
                <w:szCs w:val="24"/>
              </w:rPr>
            </w:pPr>
            <w:r>
              <w:rPr>
                <w:rFonts w:ascii="Arial" w:hAnsi="Arial" w:cs="Arial"/>
                <w:sz w:val="24"/>
                <w:szCs w:val="24"/>
              </w:rPr>
              <w:t xml:space="preserve">To </w:t>
            </w:r>
            <w:r>
              <w:rPr>
                <w:rFonts w:ascii="Arial" w:hAnsi="Arial" w:cs="Arial"/>
                <w:sz w:val="24"/>
                <w:szCs w:val="24"/>
              </w:rPr>
              <w:t xml:space="preserve">improve personal competence in dealing with challenging behaviour to feel confident when faced with this on placement. </w:t>
            </w:r>
          </w:p>
        </w:tc>
        <w:tc>
          <w:tcPr>
            <w:tcW w:w="4111" w:type="dxa"/>
          </w:tcPr>
          <w:p w14:paraId="096EE9A3" w14:textId="77777777">
            <w:pPr>
              <w:spacing w:line="360" w:lineRule="auto"/>
              <w:jc w:val="both"/>
              <w:rPr>
                <w:rFonts w:ascii="Arial" w:hAnsi="Arial" w:cs="Arial"/>
                <w:sz w:val="24"/>
                <w:szCs w:val="24"/>
              </w:rPr>
            </w:pPr>
            <w:r>
              <w:rPr>
                <w:rFonts w:ascii="Arial" w:hAnsi="Arial" w:cs="Arial"/>
                <w:sz w:val="24"/>
                <w:szCs w:val="24"/>
              </w:rPr>
              <w:t xml:space="preserve">To read more theory on dealing with challenging behaviour </w:t>
            </w:r>
            <w:r>
              <w:rPr>
                <w:rFonts w:ascii="Arial" w:hAnsi="Arial" w:cs="Arial"/>
                <w:sz w:val="24"/>
                <w:szCs w:val="24"/>
              </w:rPr>
              <w:t xml:space="preserve">(5 research articles) and benefit from the learning therein. </w:t>
            </w:r>
          </w:p>
          <w:p w14:paraId="45F6E07E" w14:textId="050AC687">
            <w:pPr>
              <w:spacing w:line="360" w:lineRule="auto"/>
              <w:jc w:val="both"/>
              <w:rPr>
                <w:rFonts w:ascii="Arial" w:hAnsi="Arial" w:cs="Arial"/>
                <w:sz w:val="24"/>
                <w:szCs w:val="24"/>
              </w:rPr>
            </w:pPr>
            <w:r>
              <w:rPr>
                <w:rFonts w:ascii="Arial" w:hAnsi="Arial" w:cs="Arial"/>
                <w:sz w:val="24"/>
                <w:szCs w:val="24"/>
              </w:rPr>
              <w:t xml:space="preserve">To observe the </w:t>
            </w:r>
            <w:r>
              <w:rPr>
                <w:rFonts w:ascii="Arial" w:hAnsi="Arial" w:cs="Arial"/>
                <w:sz w:val="24"/>
                <w:szCs w:val="24"/>
              </w:rPr>
              <w:t>behaviour of other mental health nurses in these scenarios.</w:t>
            </w:r>
          </w:p>
        </w:tc>
        <w:tc>
          <w:tcPr>
            <w:tcW w:w="1701" w:type="dxa"/>
          </w:tcPr>
          <w:p w14:paraId="2B0F0A3B" w14:textId="1FFEB878">
            <w:pPr>
              <w:spacing w:line="360" w:lineRule="auto"/>
              <w:jc w:val="both"/>
              <w:rPr>
                <w:rFonts w:ascii="Arial" w:hAnsi="Arial" w:cs="Arial"/>
                <w:sz w:val="24"/>
                <w:szCs w:val="24"/>
              </w:rPr>
            </w:pPr>
            <w:r>
              <w:rPr>
                <w:rFonts w:ascii="Arial" w:hAnsi="Arial" w:cs="Arial"/>
                <w:sz w:val="24"/>
                <w:szCs w:val="24"/>
              </w:rPr>
              <w:t>Myself</w:t>
            </w:r>
            <w:r>
              <w:rPr>
                <w:rFonts w:ascii="Arial" w:hAnsi="Arial" w:cs="Arial"/>
                <w:sz w:val="24"/>
                <w:szCs w:val="24"/>
              </w:rPr>
              <w:t xml:space="preserve"> / my practice supervisor</w:t>
            </w:r>
          </w:p>
        </w:tc>
        <w:tc>
          <w:tcPr>
            <w:tcW w:w="3969" w:type="dxa"/>
          </w:tcPr>
          <w:p w14:paraId="3C3DD092" w14:textId="6CA19F6B">
            <w:pPr>
              <w:spacing w:line="360" w:lineRule="auto"/>
              <w:jc w:val="both"/>
              <w:rPr>
                <w:rFonts w:ascii="Arial" w:hAnsi="Arial" w:cs="Arial"/>
                <w:sz w:val="24"/>
                <w:szCs w:val="24"/>
              </w:rPr>
            </w:pPr>
            <w:r>
              <w:rPr>
                <w:rFonts w:ascii="Arial" w:hAnsi="Arial" w:cs="Arial"/>
                <w:sz w:val="24"/>
                <w:szCs w:val="24"/>
              </w:rPr>
              <w:t>I will need time to do the relevant reading</w:t>
            </w:r>
            <w:r>
              <w:rPr>
                <w:rFonts w:ascii="Arial" w:hAnsi="Arial" w:cs="Arial"/>
                <w:sz w:val="24"/>
                <w:szCs w:val="24"/>
              </w:rPr>
              <w:t xml:space="preserve"> and to decide on strategies to try in practice.</w:t>
            </w:r>
          </w:p>
          <w:p w14:paraId="61D8931E" w14:textId="77777777">
            <w:pPr>
              <w:spacing w:line="360" w:lineRule="auto"/>
              <w:jc w:val="both"/>
              <w:rPr>
                <w:rFonts w:ascii="Arial" w:hAnsi="Arial" w:cs="Arial"/>
                <w:sz w:val="24"/>
                <w:szCs w:val="24"/>
              </w:rPr>
            </w:pPr>
            <w:r>
              <w:rPr>
                <w:rFonts w:ascii="Arial" w:hAnsi="Arial" w:cs="Arial"/>
                <w:sz w:val="24"/>
                <w:szCs w:val="24"/>
              </w:rPr>
              <w:t>I will benefit from feedback from my practice supervisor to know if I have improved</w:t>
            </w:r>
            <w:r>
              <w:rPr>
                <w:rFonts w:ascii="Arial" w:hAnsi="Arial" w:cs="Arial"/>
                <w:sz w:val="24"/>
                <w:szCs w:val="24"/>
              </w:rPr>
              <w:t xml:space="preserve"> – therefore time from my practice supervisor will also be a needed resource. </w:t>
            </w:r>
          </w:p>
          <w:p w14:paraId="7B0845B5" w14:textId="31C04C49">
            <w:pPr>
              <w:spacing w:line="360" w:lineRule="auto"/>
              <w:jc w:val="both"/>
              <w:rPr>
                <w:rFonts w:ascii="Arial" w:hAnsi="Arial" w:cs="Arial"/>
                <w:sz w:val="24"/>
                <w:szCs w:val="24"/>
              </w:rPr>
            </w:pPr>
            <w:r>
              <w:rPr>
                <w:rFonts w:ascii="Arial" w:hAnsi="Arial" w:cs="Arial"/>
                <w:sz w:val="24"/>
                <w:szCs w:val="24"/>
              </w:rPr>
              <w:t>I will request role play opportunities with my supervisor.</w:t>
            </w:r>
          </w:p>
        </w:tc>
        <w:tc>
          <w:tcPr>
            <w:tcW w:w="2976" w:type="dxa"/>
          </w:tcPr>
          <w:p w14:paraId="07672D83" w14:textId="481BEAB1">
            <w:pPr>
              <w:spacing w:line="360" w:lineRule="auto"/>
              <w:jc w:val="both"/>
              <w:rPr>
                <w:rFonts w:ascii="Arial" w:hAnsi="Arial" w:cs="Arial"/>
                <w:sz w:val="24"/>
                <w:szCs w:val="24"/>
              </w:rPr>
            </w:pPr>
            <w:r>
              <w:rPr>
                <w:rFonts w:ascii="Arial" w:hAnsi="Arial" w:cs="Arial"/>
                <w:sz w:val="24"/>
                <w:szCs w:val="24"/>
              </w:rPr>
              <w:t>July 2024</w:t>
            </w:r>
          </w:p>
        </w:tc>
      </w:tr>
      <w:tr w14:paraId="6A277A78" w14:textId="77777777">
        <w:tc>
          <w:tcPr>
            <w:tcW w:w="2694" w:type="dxa"/>
          </w:tcPr>
          <w:p w14:paraId="7F9F057D" w14:textId="6AACDF98">
            <w:pPr>
              <w:spacing w:line="360" w:lineRule="auto"/>
              <w:jc w:val="both"/>
              <w:rPr>
                <w:rFonts w:ascii="Arial" w:hAnsi="Arial" w:cs="Arial"/>
                <w:sz w:val="24"/>
                <w:szCs w:val="24"/>
              </w:rPr>
            </w:pPr>
            <w:r>
              <w:rPr>
                <w:rFonts w:ascii="Arial" w:hAnsi="Arial" w:cs="Arial"/>
                <w:sz w:val="24"/>
                <w:szCs w:val="24"/>
              </w:rPr>
              <w:t xml:space="preserve">To develop my delegation skills so that I feel competent in </w:t>
            </w:r>
            <w:r>
              <w:rPr>
                <w:rFonts w:ascii="Arial" w:hAnsi="Arial" w:cs="Arial"/>
                <w:sz w:val="24"/>
                <w:szCs w:val="24"/>
              </w:rPr>
              <w:lastRenderedPageBreak/>
              <w:t xml:space="preserve">delegating to nursing </w:t>
            </w:r>
            <w:r>
              <w:rPr>
                <w:rFonts w:ascii="Arial" w:hAnsi="Arial" w:cs="Arial"/>
                <w:sz w:val="24"/>
                <w:szCs w:val="24"/>
              </w:rPr>
              <w:t xml:space="preserve">assistants. </w:t>
            </w:r>
          </w:p>
          <w:p w14:paraId="12A29BFA" w14:textId="77777777">
            <w:pPr>
              <w:spacing w:line="360" w:lineRule="auto"/>
              <w:jc w:val="both"/>
              <w:rPr>
                <w:rFonts w:ascii="Arial" w:hAnsi="Arial" w:cs="Arial"/>
                <w:sz w:val="24"/>
                <w:szCs w:val="24"/>
              </w:rPr>
            </w:pPr>
          </w:p>
        </w:tc>
        <w:tc>
          <w:tcPr>
            <w:tcW w:w="4111" w:type="dxa"/>
          </w:tcPr>
          <w:p w14:paraId="6B6EC001" w14:textId="77777777">
            <w:pPr>
              <w:spacing w:line="360" w:lineRule="auto"/>
              <w:jc w:val="both"/>
              <w:rPr>
                <w:rFonts w:ascii="Arial" w:hAnsi="Arial" w:cs="Arial"/>
                <w:sz w:val="24"/>
                <w:szCs w:val="24"/>
              </w:rPr>
            </w:pPr>
            <w:r>
              <w:rPr>
                <w:rFonts w:ascii="Arial" w:hAnsi="Arial" w:cs="Arial"/>
                <w:sz w:val="24"/>
                <w:szCs w:val="24"/>
              </w:rPr>
              <w:lastRenderedPageBreak/>
              <w:t xml:space="preserve">To re-read the NMC guidance on Delegation and Accountability. </w:t>
            </w:r>
          </w:p>
          <w:p w14:paraId="240D6C43" w14:textId="77777777">
            <w:pPr>
              <w:spacing w:line="360" w:lineRule="auto"/>
              <w:jc w:val="both"/>
              <w:rPr>
                <w:rFonts w:ascii="Arial" w:hAnsi="Arial" w:cs="Arial"/>
                <w:sz w:val="24"/>
                <w:szCs w:val="24"/>
              </w:rPr>
            </w:pPr>
            <w:r>
              <w:rPr>
                <w:rFonts w:ascii="Arial" w:hAnsi="Arial" w:cs="Arial"/>
                <w:sz w:val="24"/>
                <w:szCs w:val="24"/>
              </w:rPr>
              <w:lastRenderedPageBreak/>
              <w:t xml:space="preserve">To observe other mental health nurses and </w:t>
            </w:r>
            <w:r>
              <w:rPr>
                <w:rFonts w:ascii="Arial" w:hAnsi="Arial" w:cs="Arial"/>
                <w:sz w:val="24"/>
                <w:szCs w:val="24"/>
              </w:rPr>
              <w:t>gain learnings from how they delegate.</w:t>
            </w:r>
          </w:p>
          <w:p w14:paraId="03467A33" w14:textId="67019402">
            <w:pPr>
              <w:spacing w:line="360" w:lineRule="auto"/>
              <w:jc w:val="both"/>
              <w:rPr>
                <w:rFonts w:ascii="Arial" w:hAnsi="Arial" w:cs="Arial"/>
                <w:sz w:val="24"/>
                <w:szCs w:val="24"/>
              </w:rPr>
            </w:pPr>
            <w:r>
              <w:rPr>
                <w:rFonts w:ascii="Arial" w:hAnsi="Arial" w:cs="Arial"/>
                <w:sz w:val="24"/>
                <w:szCs w:val="24"/>
              </w:rPr>
              <w:t>To practice delegation on shift as the opportunity arises and to seek feedback from nursing assistants on my performance.</w:t>
            </w:r>
          </w:p>
        </w:tc>
        <w:tc>
          <w:tcPr>
            <w:tcW w:w="1701" w:type="dxa"/>
          </w:tcPr>
          <w:p w14:paraId="41CAA8BB" w14:textId="51403934">
            <w:pPr>
              <w:spacing w:line="360" w:lineRule="auto"/>
              <w:jc w:val="both"/>
              <w:rPr>
                <w:rFonts w:ascii="Arial" w:hAnsi="Arial" w:cs="Arial"/>
                <w:sz w:val="24"/>
                <w:szCs w:val="24"/>
              </w:rPr>
            </w:pPr>
            <w:r>
              <w:rPr>
                <w:rFonts w:ascii="Arial" w:hAnsi="Arial" w:cs="Arial"/>
                <w:sz w:val="24"/>
                <w:szCs w:val="24"/>
              </w:rPr>
              <w:lastRenderedPageBreak/>
              <w:t>Myself/  my practice supervisor.</w:t>
            </w:r>
          </w:p>
        </w:tc>
        <w:tc>
          <w:tcPr>
            <w:tcW w:w="3969" w:type="dxa"/>
          </w:tcPr>
          <w:p w14:paraId="1782EC32" w14:textId="77777777">
            <w:pPr>
              <w:spacing w:line="360" w:lineRule="auto"/>
              <w:jc w:val="both"/>
              <w:rPr>
                <w:rFonts w:ascii="Arial" w:hAnsi="Arial" w:cs="Arial"/>
                <w:sz w:val="24"/>
                <w:szCs w:val="24"/>
              </w:rPr>
            </w:pPr>
            <w:r>
              <w:rPr>
                <w:rFonts w:ascii="Arial" w:hAnsi="Arial" w:cs="Arial"/>
                <w:sz w:val="24"/>
                <w:szCs w:val="24"/>
              </w:rPr>
              <w:t xml:space="preserve">I will need time for the reading and the observing. </w:t>
            </w:r>
          </w:p>
          <w:p w14:paraId="05F5DC08" w14:textId="77777777">
            <w:pPr>
              <w:spacing w:line="360" w:lineRule="auto"/>
              <w:jc w:val="both"/>
              <w:rPr>
                <w:rFonts w:ascii="Arial" w:hAnsi="Arial" w:cs="Arial"/>
                <w:sz w:val="24"/>
                <w:szCs w:val="24"/>
              </w:rPr>
            </w:pPr>
            <w:r>
              <w:rPr>
                <w:rFonts w:ascii="Arial" w:hAnsi="Arial" w:cs="Arial"/>
                <w:sz w:val="24"/>
                <w:szCs w:val="24"/>
              </w:rPr>
              <w:lastRenderedPageBreak/>
              <w:t>I will need to make time to reflect on the delegation of others and see what I can learn from it.</w:t>
            </w:r>
          </w:p>
          <w:p w14:paraId="16B7DC3D" w14:textId="65DE92B4">
            <w:pPr>
              <w:spacing w:line="360" w:lineRule="auto"/>
              <w:jc w:val="both"/>
              <w:rPr>
                <w:rFonts w:ascii="Arial" w:hAnsi="Arial" w:cs="Arial"/>
                <w:sz w:val="24"/>
                <w:szCs w:val="24"/>
              </w:rPr>
            </w:pPr>
            <w:r>
              <w:rPr>
                <w:rFonts w:ascii="Arial" w:hAnsi="Arial" w:cs="Arial"/>
                <w:sz w:val="24"/>
                <w:szCs w:val="24"/>
              </w:rPr>
              <w:t>I will benefit from feedback both from my practice supervisor and nursing assistants – the time of both is needed.</w:t>
            </w:r>
          </w:p>
        </w:tc>
        <w:tc>
          <w:tcPr>
            <w:tcW w:w="2976" w:type="dxa"/>
          </w:tcPr>
          <w:p w14:paraId="2688D386" w14:textId="2256333E">
            <w:pPr>
              <w:spacing w:line="360" w:lineRule="auto"/>
              <w:jc w:val="both"/>
              <w:rPr>
                <w:rFonts w:ascii="Arial" w:hAnsi="Arial" w:cs="Arial"/>
                <w:sz w:val="24"/>
                <w:szCs w:val="24"/>
              </w:rPr>
            </w:pPr>
            <w:r>
              <w:rPr>
                <w:rFonts w:ascii="Arial" w:hAnsi="Arial" w:cs="Arial"/>
                <w:sz w:val="24"/>
                <w:szCs w:val="24"/>
              </w:rPr>
              <w:lastRenderedPageBreak/>
              <w:t>October 2024</w:t>
            </w:r>
          </w:p>
        </w:tc>
      </w:tr>
      <w:tr w14:paraId="4AD03679" w14:textId="77777777">
        <w:tc>
          <w:tcPr>
            <w:tcW w:w="2694" w:type="dxa"/>
          </w:tcPr>
          <w:p w14:paraId="0E3BD0C6" w14:textId="36E95CC1">
            <w:pPr>
              <w:spacing w:line="360" w:lineRule="auto"/>
              <w:jc w:val="both"/>
              <w:rPr>
                <w:rFonts w:ascii="Arial" w:hAnsi="Arial" w:cs="Arial"/>
                <w:sz w:val="24"/>
                <w:szCs w:val="24"/>
              </w:rPr>
            </w:pPr>
            <w:r>
              <w:rPr>
                <w:rFonts w:ascii="Arial" w:hAnsi="Arial" w:cs="Arial"/>
                <w:sz w:val="24"/>
                <w:szCs w:val="24"/>
              </w:rPr>
              <w:t xml:space="preserve">To improve </w:t>
            </w:r>
            <w:r>
              <w:rPr>
                <w:rFonts w:ascii="Arial" w:hAnsi="Arial" w:cs="Arial"/>
                <w:sz w:val="24"/>
                <w:szCs w:val="24"/>
              </w:rPr>
              <w:t xml:space="preserve">organisational skills so that </w:t>
            </w:r>
            <w:r>
              <w:rPr>
                <w:rFonts w:ascii="Arial" w:hAnsi="Arial" w:cs="Arial"/>
                <w:sz w:val="24"/>
                <w:szCs w:val="24"/>
              </w:rPr>
              <w:t>records are kept up to date and that this is done in a timely manner.</w:t>
            </w:r>
          </w:p>
          <w:p w14:paraId="27C4F600" w14:textId="77777777">
            <w:pPr>
              <w:spacing w:line="360" w:lineRule="auto"/>
              <w:jc w:val="both"/>
              <w:rPr>
                <w:rFonts w:ascii="Arial" w:hAnsi="Arial" w:cs="Arial"/>
                <w:sz w:val="24"/>
                <w:szCs w:val="24"/>
              </w:rPr>
            </w:pPr>
          </w:p>
          <w:p w14:paraId="4A1E2F12" w14:textId="77777777">
            <w:pPr>
              <w:spacing w:line="360" w:lineRule="auto"/>
              <w:jc w:val="both"/>
              <w:rPr>
                <w:rFonts w:ascii="Arial" w:hAnsi="Arial" w:cs="Arial"/>
                <w:sz w:val="24"/>
                <w:szCs w:val="24"/>
              </w:rPr>
            </w:pPr>
          </w:p>
          <w:p w14:paraId="0300B3EA" w14:textId="77777777">
            <w:pPr>
              <w:spacing w:line="360" w:lineRule="auto"/>
              <w:jc w:val="both"/>
              <w:rPr>
                <w:rFonts w:ascii="Arial" w:hAnsi="Arial" w:cs="Arial"/>
                <w:sz w:val="24"/>
                <w:szCs w:val="24"/>
              </w:rPr>
            </w:pPr>
          </w:p>
        </w:tc>
        <w:tc>
          <w:tcPr>
            <w:tcW w:w="4111" w:type="dxa"/>
          </w:tcPr>
          <w:p w14:paraId="14EBE96F" w14:textId="77777777">
            <w:pPr>
              <w:spacing w:line="360" w:lineRule="auto"/>
              <w:jc w:val="both"/>
              <w:rPr>
                <w:rFonts w:ascii="Arial" w:hAnsi="Arial" w:cs="Arial"/>
                <w:sz w:val="24"/>
                <w:szCs w:val="24"/>
              </w:rPr>
            </w:pPr>
            <w:r>
              <w:rPr>
                <w:rFonts w:ascii="Arial" w:hAnsi="Arial" w:cs="Arial"/>
                <w:sz w:val="24"/>
                <w:szCs w:val="24"/>
              </w:rPr>
              <w:t>To observe how others achieve organisation that is more effective than my own.</w:t>
            </w:r>
          </w:p>
          <w:p w14:paraId="4D02BA79" w14:textId="355E556C">
            <w:pPr>
              <w:spacing w:line="360" w:lineRule="auto"/>
              <w:jc w:val="both"/>
              <w:rPr>
                <w:rFonts w:ascii="Arial" w:hAnsi="Arial" w:cs="Arial"/>
                <w:sz w:val="24"/>
                <w:szCs w:val="24"/>
              </w:rPr>
            </w:pPr>
            <w:r>
              <w:rPr>
                <w:rFonts w:ascii="Arial" w:hAnsi="Arial" w:cs="Arial"/>
                <w:sz w:val="24"/>
                <w:szCs w:val="24"/>
              </w:rPr>
              <w:t xml:space="preserve">To read up on organisational techniques that can improve timeliness and implement 3-5 of these in my practice. </w:t>
            </w:r>
          </w:p>
        </w:tc>
        <w:tc>
          <w:tcPr>
            <w:tcW w:w="1701" w:type="dxa"/>
          </w:tcPr>
          <w:p w14:paraId="7CB8A313" w14:textId="331E9275">
            <w:pPr>
              <w:spacing w:line="360" w:lineRule="auto"/>
              <w:jc w:val="both"/>
              <w:rPr>
                <w:rFonts w:ascii="Arial" w:hAnsi="Arial" w:cs="Arial"/>
                <w:sz w:val="24"/>
                <w:szCs w:val="24"/>
              </w:rPr>
            </w:pPr>
            <w:r>
              <w:rPr>
                <w:rFonts w:ascii="Arial" w:hAnsi="Arial" w:cs="Arial"/>
                <w:sz w:val="24"/>
                <w:szCs w:val="24"/>
              </w:rPr>
              <w:t xml:space="preserve">Myself / peers on clinical placement. </w:t>
            </w:r>
          </w:p>
        </w:tc>
        <w:tc>
          <w:tcPr>
            <w:tcW w:w="3969" w:type="dxa"/>
          </w:tcPr>
          <w:p w14:paraId="3E50C83F" w14:textId="2B009DE6">
            <w:pPr>
              <w:spacing w:line="360" w:lineRule="auto"/>
              <w:jc w:val="both"/>
              <w:rPr>
                <w:rFonts w:ascii="Arial" w:hAnsi="Arial" w:cs="Arial"/>
                <w:sz w:val="24"/>
                <w:szCs w:val="24"/>
              </w:rPr>
            </w:pPr>
            <w:r>
              <w:rPr>
                <w:rFonts w:ascii="Arial" w:hAnsi="Arial" w:cs="Arial"/>
                <w:sz w:val="24"/>
                <w:szCs w:val="24"/>
              </w:rPr>
              <w:t>Request support from peers by asking them how they organise themselves to achieve this. This will require a time input from them.</w:t>
            </w:r>
          </w:p>
          <w:p w14:paraId="52550F0E" w14:textId="77E3BFDE">
            <w:pPr>
              <w:spacing w:line="360" w:lineRule="auto"/>
              <w:jc w:val="both"/>
              <w:rPr>
                <w:rFonts w:ascii="Arial" w:hAnsi="Arial" w:cs="Arial"/>
                <w:sz w:val="24"/>
                <w:szCs w:val="24"/>
              </w:rPr>
            </w:pPr>
            <w:r>
              <w:rPr>
                <w:rFonts w:ascii="Arial" w:hAnsi="Arial" w:cs="Arial"/>
                <w:sz w:val="24"/>
                <w:szCs w:val="24"/>
              </w:rPr>
              <w:t>Time of mine to read and observe and implement changes.</w:t>
            </w:r>
          </w:p>
        </w:tc>
        <w:tc>
          <w:tcPr>
            <w:tcW w:w="2976" w:type="dxa"/>
          </w:tcPr>
          <w:p w14:paraId="242F6F5E" w14:textId="03787B2E">
            <w:pPr>
              <w:spacing w:line="360" w:lineRule="auto"/>
              <w:jc w:val="both"/>
              <w:rPr>
                <w:rFonts w:ascii="Arial" w:hAnsi="Arial" w:cs="Arial"/>
                <w:sz w:val="24"/>
                <w:szCs w:val="24"/>
              </w:rPr>
            </w:pPr>
            <w:r>
              <w:rPr>
                <w:rFonts w:ascii="Arial" w:hAnsi="Arial" w:cs="Arial"/>
                <w:sz w:val="24"/>
                <w:szCs w:val="24"/>
              </w:rPr>
              <w:t>April 2024</w:t>
            </w:r>
          </w:p>
        </w:tc>
      </w:tr>
    </w:tbl>
    <w:p w14:paraId="66F5CD9F" w14:textId="77777777">
      <w:pPr>
        <w:spacing w:after="0" w:line="360" w:lineRule="auto"/>
        <w:jc w:val="both"/>
        <w:rPr>
          <w:rFonts w:ascii="Arial" w:hAnsi="Arial" w:cs="Arial"/>
        </w:rPr>
      </w:pPr>
    </w:p>
    <w:p w14:paraId="025C4880" w14:textId="77777777">
      <w:pPr>
        <w:spacing w:after="0" w:line="360" w:lineRule="auto"/>
        <w:jc w:val="both"/>
        <w:rPr>
          <w:rFonts w:ascii="Arial" w:hAnsi="Arial" w:cs="Arial"/>
        </w:rPr>
      </w:pPr>
    </w:p>
    <w:p w14:paraId="01FC0850" w14:textId="77777777">
      <w:pPr>
        <w:spacing w:after="0" w:line="360" w:lineRule="auto"/>
        <w:jc w:val="both"/>
        <w:rPr>
          <w:rFonts w:ascii="Arial" w:hAnsi="Arial" w:cs="Arial"/>
        </w:rPr>
      </w:pPr>
    </w:p>
    <w:p w14:paraId="35853D80" w14:textId="77777777">
      <w:pPr>
        <w:spacing w:after="0" w:line="360" w:lineRule="auto"/>
        <w:jc w:val="both"/>
        <w:rPr>
          <w:rFonts w:ascii="Arial" w:hAnsi="Arial" w:cs="Arial"/>
        </w:rPr>
      </w:pPr>
    </w:p>
    <w:p w14:paraId="1567252D" w14:textId="77777777">
      <w:pPr>
        <w:spacing w:after="0" w:line="360" w:lineRule="auto"/>
        <w:jc w:val="both"/>
        <w:rPr>
          <w:rFonts w:ascii="Arial" w:hAnsi="Arial" w:cs="Arial"/>
        </w:rPr>
      </w:pPr>
    </w:p>
    <w:sectPr>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73F22" w14:textId="77777777">
      <w:pPr>
        <w:spacing w:after="0" w:line="240" w:lineRule="auto"/>
      </w:pPr>
      <w:r>
        <w:separator/>
      </w:r>
    </w:p>
  </w:endnote>
  <w:endnote w:type="continuationSeparator" w:id="0">
    <w:p w14:paraId="61553CE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172865"/>
      <w:docPartObj>
        <w:docPartGallery w:val="Page Numbers (Bottom of Page)"/>
        <w:docPartUnique/>
      </w:docPartObj>
    </w:sdtPr>
    <w:sdtContent>
      <w:sdt>
        <w:sdtPr>
          <w:id w:val="1728636285"/>
          <w:docPartObj>
            <w:docPartGallery w:val="Page Numbers (Top of Page)"/>
            <w:docPartUnique/>
          </w:docPartObj>
        </w:sdtPr>
        <w:sdtContent>
          <w:p w14:paraId="57D4BBAB" w14:textId="3870C8F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430A62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27263" w14:textId="77777777">
      <w:pPr>
        <w:spacing w:after="0" w:line="240" w:lineRule="auto"/>
      </w:pPr>
      <w:r>
        <w:separator/>
      </w:r>
    </w:p>
  </w:footnote>
  <w:footnote w:type="continuationSeparator" w:id="0">
    <w:p w14:paraId="1C9C4C0E"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CBA"/>
    <w:rsid w:val="000063FF"/>
    <w:rsid w:val="00020CBA"/>
    <w:rsid w:val="00026BFE"/>
    <w:rsid w:val="000340BD"/>
    <w:rsid w:val="000422BA"/>
    <w:rsid w:val="00085AF9"/>
    <w:rsid w:val="000C1D06"/>
    <w:rsid w:val="000D066F"/>
    <w:rsid w:val="000E1886"/>
    <w:rsid w:val="000F0025"/>
    <w:rsid w:val="001001D5"/>
    <w:rsid w:val="00120202"/>
    <w:rsid w:val="00121175"/>
    <w:rsid w:val="00131017"/>
    <w:rsid w:val="00136164"/>
    <w:rsid w:val="00163A90"/>
    <w:rsid w:val="001676E1"/>
    <w:rsid w:val="001D66FE"/>
    <w:rsid w:val="001D7A74"/>
    <w:rsid w:val="0025553C"/>
    <w:rsid w:val="00267417"/>
    <w:rsid w:val="00267EE2"/>
    <w:rsid w:val="002B1A71"/>
    <w:rsid w:val="002C022D"/>
    <w:rsid w:val="002D1BDE"/>
    <w:rsid w:val="002D6BF5"/>
    <w:rsid w:val="003468C6"/>
    <w:rsid w:val="00372862"/>
    <w:rsid w:val="00374F57"/>
    <w:rsid w:val="0037553D"/>
    <w:rsid w:val="003826ED"/>
    <w:rsid w:val="003C248B"/>
    <w:rsid w:val="003E222E"/>
    <w:rsid w:val="003F094E"/>
    <w:rsid w:val="00444F61"/>
    <w:rsid w:val="00447192"/>
    <w:rsid w:val="004611BA"/>
    <w:rsid w:val="00461271"/>
    <w:rsid w:val="00475A1E"/>
    <w:rsid w:val="004760C1"/>
    <w:rsid w:val="0048096A"/>
    <w:rsid w:val="00482EB4"/>
    <w:rsid w:val="0049540F"/>
    <w:rsid w:val="004976CD"/>
    <w:rsid w:val="004B4F3A"/>
    <w:rsid w:val="004C12A1"/>
    <w:rsid w:val="004C6FFF"/>
    <w:rsid w:val="00504D7B"/>
    <w:rsid w:val="00510D6E"/>
    <w:rsid w:val="00547AE6"/>
    <w:rsid w:val="0056663D"/>
    <w:rsid w:val="00573AEF"/>
    <w:rsid w:val="0057724E"/>
    <w:rsid w:val="005856FC"/>
    <w:rsid w:val="005A3FDD"/>
    <w:rsid w:val="005A7451"/>
    <w:rsid w:val="005E26E3"/>
    <w:rsid w:val="005E559A"/>
    <w:rsid w:val="00600039"/>
    <w:rsid w:val="00674617"/>
    <w:rsid w:val="006834B0"/>
    <w:rsid w:val="00686227"/>
    <w:rsid w:val="006B7C7A"/>
    <w:rsid w:val="006D0BB9"/>
    <w:rsid w:val="006D2D28"/>
    <w:rsid w:val="006F0448"/>
    <w:rsid w:val="006F0DB5"/>
    <w:rsid w:val="0072476D"/>
    <w:rsid w:val="0076117D"/>
    <w:rsid w:val="007662F1"/>
    <w:rsid w:val="007A4794"/>
    <w:rsid w:val="007B2B8C"/>
    <w:rsid w:val="007C005E"/>
    <w:rsid w:val="007F7F66"/>
    <w:rsid w:val="00801C60"/>
    <w:rsid w:val="00805409"/>
    <w:rsid w:val="00825779"/>
    <w:rsid w:val="00843D00"/>
    <w:rsid w:val="00874CF0"/>
    <w:rsid w:val="0088078E"/>
    <w:rsid w:val="00892D17"/>
    <w:rsid w:val="00895588"/>
    <w:rsid w:val="008C6BD3"/>
    <w:rsid w:val="008D6B06"/>
    <w:rsid w:val="009018CD"/>
    <w:rsid w:val="00913E8B"/>
    <w:rsid w:val="00944913"/>
    <w:rsid w:val="009501B4"/>
    <w:rsid w:val="00972235"/>
    <w:rsid w:val="009F6256"/>
    <w:rsid w:val="009F65E2"/>
    <w:rsid w:val="00A217CE"/>
    <w:rsid w:val="00A446D1"/>
    <w:rsid w:val="00A76D49"/>
    <w:rsid w:val="00A81AB0"/>
    <w:rsid w:val="00A95895"/>
    <w:rsid w:val="00AA4FEB"/>
    <w:rsid w:val="00AA7F68"/>
    <w:rsid w:val="00AC4B16"/>
    <w:rsid w:val="00AD69E8"/>
    <w:rsid w:val="00AE3C29"/>
    <w:rsid w:val="00AE40BA"/>
    <w:rsid w:val="00AF2C02"/>
    <w:rsid w:val="00B00849"/>
    <w:rsid w:val="00B03035"/>
    <w:rsid w:val="00B0577E"/>
    <w:rsid w:val="00B32A71"/>
    <w:rsid w:val="00B33E1C"/>
    <w:rsid w:val="00B3401C"/>
    <w:rsid w:val="00B45409"/>
    <w:rsid w:val="00B75CE4"/>
    <w:rsid w:val="00B8662D"/>
    <w:rsid w:val="00BA6375"/>
    <w:rsid w:val="00BB2E38"/>
    <w:rsid w:val="00BB39CB"/>
    <w:rsid w:val="00BC1F6B"/>
    <w:rsid w:val="00BC46AB"/>
    <w:rsid w:val="00BD2080"/>
    <w:rsid w:val="00BD6ED9"/>
    <w:rsid w:val="00BF3E22"/>
    <w:rsid w:val="00C347A9"/>
    <w:rsid w:val="00C43D5A"/>
    <w:rsid w:val="00C46C8A"/>
    <w:rsid w:val="00C72417"/>
    <w:rsid w:val="00C8793F"/>
    <w:rsid w:val="00C90FAC"/>
    <w:rsid w:val="00C948F6"/>
    <w:rsid w:val="00C95CF0"/>
    <w:rsid w:val="00C970F6"/>
    <w:rsid w:val="00CA5389"/>
    <w:rsid w:val="00CB24F2"/>
    <w:rsid w:val="00CC712B"/>
    <w:rsid w:val="00CD661D"/>
    <w:rsid w:val="00CE6423"/>
    <w:rsid w:val="00CF406B"/>
    <w:rsid w:val="00D16AE3"/>
    <w:rsid w:val="00D231C1"/>
    <w:rsid w:val="00D34628"/>
    <w:rsid w:val="00D629BD"/>
    <w:rsid w:val="00D7025E"/>
    <w:rsid w:val="00D928F4"/>
    <w:rsid w:val="00D95020"/>
    <w:rsid w:val="00D952B3"/>
    <w:rsid w:val="00DB526C"/>
    <w:rsid w:val="00DC5B38"/>
    <w:rsid w:val="00DE0E5C"/>
    <w:rsid w:val="00DE27F7"/>
    <w:rsid w:val="00DE46DB"/>
    <w:rsid w:val="00DF62E4"/>
    <w:rsid w:val="00E14B67"/>
    <w:rsid w:val="00E40CB7"/>
    <w:rsid w:val="00E5104A"/>
    <w:rsid w:val="00E67F90"/>
    <w:rsid w:val="00E77F1B"/>
    <w:rsid w:val="00EA2845"/>
    <w:rsid w:val="00EB0B7D"/>
    <w:rsid w:val="00EB1913"/>
    <w:rsid w:val="00EB720D"/>
    <w:rsid w:val="00EC0933"/>
    <w:rsid w:val="00EC13C9"/>
    <w:rsid w:val="00ED769B"/>
    <w:rsid w:val="00F1143A"/>
    <w:rsid w:val="00F2019D"/>
    <w:rsid w:val="00F2579F"/>
    <w:rsid w:val="00F63EF3"/>
    <w:rsid w:val="00F67899"/>
    <w:rsid w:val="00F830A2"/>
    <w:rsid w:val="00F83B5D"/>
    <w:rsid w:val="00FC7073"/>
    <w:rsid w:val="00FE3D64"/>
    <w:rsid w:val="00FF2A7B"/>
    <w:rsid w:val="00FF5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F81B7"/>
  <w15:chartTrackingRefBased/>
  <w15:docId w15:val="{450ECF79-A492-4950-AC59-AFC88DE40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0C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0C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0C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C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0C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0C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C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C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C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C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C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C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C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C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C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C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C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CBA"/>
    <w:rPr>
      <w:rFonts w:eastAsiaTheme="majorEastAsia" w:cstheme="majorBidi"/>
      <w:color w:val="272727" w:themeColor="text1" w:themeTint="D8"/>
    </w:rPr>
  </w:style>
  <w:style w:type="paragraph" w:styleId="Title">
    <w:name w:val="Title"/>
    <w:basedOn w:val="Normal"/>
    <w:next w:val="Normal"/>
    <w:link w:val="TitleChar"/>
    <w:uiPriority w:val="10"/>
    <w:qFormat/>
    <w:rsid w:val="00020C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C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C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C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CBA"/>
    <w:pPr>
      <w:spacing w:before="160"/>
      <w:jc w:val="center"/>
    </w:pPr>
    <w:rPr>
      <w:i/>
      <w:iCs/>
      <w:color w:val="404040" w:themeColor="text1" w:themeTint="BF"/>
    </w:rPr>
  </w:style>
  <w:style w:type="character" w:customStyle="1" w:styleId="QuoteChar">
    <w:name w:val="Quote Char"/>
    <w:basedOn w:val="DefaultParagraphFont"/>
    <w:link w:val="Quote"/>
    <w:uiPriority w:val="29"/>
    <w:rsid w:val="00020CBA"/>
    <w:rPr>
      <w:i/>
      <w:iCs/>
      <w:color w:val="404040" w:themeColor="text1" w:themeTint="BF"/>
    </w:rPr>
  </w:style>
  <w:style w:type="paragraph" w:styleId="ListParagraph">
    <w:name w:val="List Paragraph"/>
    <w:basedOn w:val="Normal"/>
    <w:uiPriority w:val="34"/>
    <w:qFormat/>
    <w:rsid w:val="00020CBA"/>
    <w:pPr>
      <w:ind w:left="720"/>
      <w:contextualSpacing/>
    </w:pPr>
  </w:style>
  <w:style w:type="character" w:styleId="IntenseEmphasis">
    <w:name w:val="Intense Emphasis"/>
    <w:basedOn w:val="DefaultParagraphFont"/>
    <w:uiPriority w:val="21"/>
    <w:qFormat/>
    <w:rsid w:val="00020CBA"/>
    <w:rPr>
      <w:i/>
      <w:iCs/>
      <w:color w:val="0F4761" w:themeColor="accent1" w:themeShade="BF"/>
    </w:rPr>
  </w:style>
  <w:style w:type="paragraph" w:styleId="IntenseQuote">
    <w:name w:val="Intense Quote"/>
    <w:basedOn w:val="Normal"/>
    <w:next w:val="Normal"/>
    <w:link w:val="IntenseQuoteChar"/>
    <w:uiPriority w:val="30"/>
    <w:qFormat/>
    <w:rsid w:val="00020C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CBA"/>
    <w:rPr>
      <w:i/>
      <w:iCs/>
      <w:color w:val="0F4761" w:themeColor="accent1" w:themeShade="BF"/>
    </w:rPr>
  </w:style>
  <w:style w:type="character" w:styleId="IntenseReference">
    <w:name w:val="Intense Reference"/>
    <w:basedOn w:val="DefaultParagraphFont"/>
    <w:uiPriority w:val="32"/>
    <w:qFormat/>
    <w:rsid w:val="00020CBA"/>
    <w:rPr>
      <w:b/>
      <w:bCs/>
      <w:smallCaps/>
      <w:color w:val="0F4761" w:themeColor="accent1" w:themeShade="BF"/>
      <w:spacing w:val="5"/>
    </w:rPr>
  </w:style>
  <w:style w:type="table" w:styleId="TableGrid">
    <w:name w:val="Table Grid"/>
    <w:basedOn w:val="TableNormal"/>
    <w:uiPriority w:val="39"/>
    <w:rsid w:val="006F044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5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AF9"/>
  </w:style>
  <w:style w:type="paragraph" w:styleId="Footer">
    <w:name w:val="footer"/>
    <w:basedOn w:val="Normal"/>
    <w:link w:val="FooterChar"/>
    <w:uiPriority w:val="99"/>
    <w:unhideWhenUsed/>
    <w:rsid w:val="00085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184</TotalTime>
  <Pages>14</Pages>
  <Words>3171</Words>
  <Characters>17814</Characters>
  <Application>Microsoft Office Word</Application>
  <DocSecurity>0</DocSecurity>
  <Lines>503</Lines>
  <Paragraphs>92</Paragraphs>
  <ScaleCrop>false</ScaleCrop>
  <Company/>
  <LinksUpToDate>false</LinksUpToDate>
  <CharactersWithSpaces>20921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Students on Placement: Effective Strategies in Mental Health Nursing Essay Sample</dc:title>
  <dc:subject>Study resource</dc:subject>
  <cp:keywords>mental health nursing, placement support, student nurses, SWOT, SMART action plan</cp:keywords>
  <dc:description>Public-safe study resource. Use for planning and comparison only.</dc:description>
  <dcterms:created xsi:type="dcterms:W3CDTF">2024-01-15T09:00:00Z</dcterms:created>
  <dcterms:modified xsi:type="dcterms:W3CDTF">2024-01-17T13:48:00Z</dcterms:modified>
  <dc:creator/>
  <cp:lastModifiedBy/>
  <cp:category>Essay Library</cp:category>
  <cp:contentStatus>Public-safe study resource</cp:contentStatus>
  <dc:identifier/>
  <dc:language>en-GB</dc:language>
  <cp:version/>
</cp:coreProperties>
</file>